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er20250630_10q.htm"/>
      <w:bookmarkStart w:id="1" w:name="ksater2025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OR </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001-38937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3275"/>
        <w:gridCol w:w="60"/>
        <w:gridCol w:w="1955"/>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83-1739858</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Number)</w:t>
            </w:r>
          </w:p>
        </w:tc>
      </w:tr>
      <w:tr>
        <w:trPr/>
        <w:tc>
          <w:tcPr>
            <w:tcW w:w="3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350 Springfield Avenue, Suite 200 </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Summit, NJ </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07901</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(347) 676-1681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 xml:space="preserve">s telephone number, including area code)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8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30" w:type="dxa"/>
        <w:jc w:val="left"/>
        <w:tblInd w:w="0" w:type="dxa"/>
        <w:tblLayout w:type="fixed"/>
        <w:tblCellMar>
          <w:top w:w="0" w:type="dxa"/>
          <w:left w:w="0" w:type="dxa"/>
          <w:bottom w:w="28" w:type="dxa"/>
          <w:right w:w="0" w:type="dxa"/>
        </w:tblCellMar>
      </w:tblPr>
      <w:tblGrid>
        <w:gridCol w:w="3605"/>
        <w:gridCol w:w="60"/>
        <w:gridCol w:w="1610"/>
        <w:gridCol w:w="60"/>
        <w:gridCol w:w="3695"/>
      </w:tblGrid>
      <w:tr>
        <w:trPr/>
        <w:tc>
          <w:tcPr>
            <w:tcW w:w="360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360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ATER</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2225"/>
        <w:gridCol w:w="230"/>
        <w:gridCol w:w="60"/>
        <w:gridCol w:w="2225"/>
        <w:gridCol w:w="290"/>
      </w:tblGrid>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12, 2025, the registrant had 9,985,104 shares of common stock, $0.0001 par value per share,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 xml:space="preserve">Table of Contents </w:t>
      </w:r>
    </w:p>
    <w:p>
      <w:pPr>
        <w:pStyle w:val="TextBody"/>
        <w:bidi w:val="0"/>
        <w:spacing w:before="0" w:after="0"/>
        <w:ind w:left="0" w:right="0" w:hanging="0"/>
        <w:jc w:val="left"/>
        <w:rPr>
          <w:caps w:val="false"/>
          <w:smallCaps w:val="false"/>
        </w:rPr>
      </w:pPr>
      <w:r>
        <w:rPr>
          <w:caps w:val="false"/>
          <w:smallCaps w:val="false"/>
        </w:rPr>
        <w:t> </w:t>
      </w:r>
    </w:p>
    <w:tbl>
      <w:tblPr>
        <w:tblW w:w="8595" w:type="dxa"/>
        <w:jc w:val="left"/>
        <w:tblInd w:w="0" w:type="dxa"/>
        <w:tblLayout w:type="fixed"/>
        <w:tblCellMar>
          <w:top w:w="0" w:type="dxa"/>
          <w:left w:w="0" w:type="dxa"/>
          <w:bottom w:w="0" w:type="dxa"/>
          <w:right w:w="0" w:type="dxa"/>
        </w:tblCellMar>
      </w:tblPr>
      <w:tblGrid>
        <w:gridCol w:w="875"/>
        <w:gridCol w:w="7280"/>
        <w:gridCol w:w="440"/>
      </w:tblGrid>
      <w:tr>
        <w:trPr/>
        <w:tc>
          <w:tcPr>
            <w:tcW w:w="875"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w:t>
            </w:r>
          </w:p>
        </w:tc>
        <w:tc>
          <w:tcPr>
            <w:tcW w:w="728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FINANCIAL INFORMATION</w:t>
              </w:r>
            </w:hyperlink>
          </w:p>
        </w:tc>
        <w:tc>
          <w:tcPr>
            <w:tcW w:w="44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 (Unaudited)</w:t>
              </w:r>
            </w:hyperlink>
          </w:p>
        </w:tc>
        <w:tc>
          <w:tcPr>
            <w:tcW w:w="44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omploss">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right"/>
              <w:rPr/>
            </w:pPr>
            <w:hyperlink w:anchor="comploss">
              <w:r>
                <w:rPr>
                  <w:rStyle w:val="InternetLink"/>
                  <w:rFonts w:ascii="Times New Roman" w:hAnsi="Times New Roman"/>
                  <w:caps w:val="false"/>
                  <w:smallCaps w:val="false"/>
                  <w:sz w:val="20"/>
                </w:rPr>
                <w:t>5</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cashflows">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8</w:t>
              </w:r>
            </w:hyperlink>
          </w:p>
        </w:tc>
      </w:tr>
      <w:tr>
        <w:trPr/>
        <w:tc>
          <w:tcPr>
            <w:tcW w:w="87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7280"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9</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22</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35</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35</w:t>
              </w:r>
            </w:hyperlink>
          </w:p>
        </w:tc>
      </w:tr>
      <w:tr>
        <w:trPr/>
        <w:tc>
          <w:tcPr>
            <w:tcW w:w="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w:t>
            </w:r>
          </w:p>
        </w:tc>
        <w:tc>
          <w:tcPr>
            <w:tcW w:w="7280" w:type="dxa"/>
            <w:tcBorders/>
            <w:vAlign w:val="center"/>
          </w:tcPr>
          <w:p>
            <w:pPr>
              <w:pStyle w:val="TableContents"/>
              <w:bidi w:val="0"/>
              <w:spacing w:before="0" w:after="0"/>
              <w:ind w:left="0" w:right="0" w:hanging="0"/>
              <w:jc w:val="left"/>
              <w:rPr/>
            </w:pPr>
            <w:hyperlink w:anchor="part2">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7280"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7280"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36</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7280"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7280"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7280" w:type="dxa"/>
            <w:tcBorders/>
            <w:vAlign w:val="center"/>
          </w:tcPr>
          <w:p>
            <w:pPr>
              <w:pStyle w:val="TableContents"/>
              <w:bidi w:val="0"/>
              <w:spacing w:before="0" w:after="0"/>
              <w:ind w:left="0" w:right="0" w:hanging="0"/>
              <w:jc w:val="left"/>
              <w:rPr/>
            </w:pPr>
            <w:hyperlink w:anchor="minesafety">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right"/>
              <w:rPr/>
            </w:pPr>
            <w:hyperlink w:anchor="minesafety">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7280" w:type="dxa"/>
            <w:tcBorders/>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38</w:t>
              </w:r>
            </w:hyperlink>
          </w:p>
        </w:tc>
      </w:tr>
      <w:tr>
        <w:trPr/>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7280"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39</w:t>
              </w:r>
            </w:hyperlink>
          </w:p>
        </w:tc>
      </w:tr>
      <w:tr>
        <w:trPr/>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728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40</w:t>
              </w:r>
            </w:hyperlink>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within the meaning of Section 27A of the Securities Act and Section 21E of the Securities Exchange Act of 1934 (the "Exchange Act"). Many of these statements can be identified by the use of terminology such as </w:t>
      </w:r>
      <w:r>
        <w:rPr>
          <w:rFonts w:ascii="Times New Roman" w:hAnsi="Times New Roman"/>
          <w:caps w:val="false"/>
          <w:smallCaps w:val="false"/>
          <w:sz w:val="20"/>
        </w:rPr>
        <w:t>“</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xml:space="preserve">”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continues,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the negative versions of these terms and other similar expressions. Our actual results or experience could differ significantly from the forward-looking statements. Factors that could cause or contribute to these differences include those discussed in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II, Item 1A of this Quarterly Report on Form 10-Q as well as information provided elsewhere in this Quarterly Report on Form 10-Q and our Annual Report on Form 10-K for the year ended December 31, 2024, which was filed with the Securities and Exchange Commission (the SEC) on March 25, 2025. You should carefully consider that information before you make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not place undue reliance on these types of forward-looking statements, which speak only as of the date that they were made. These forward-looking statements are based on the beliefs and assumptions of the Company</w:t>
      </w:r>
      <w:r>
        <w:rPr>
          <w:rFonts w:ascii="Times New Roman" w:hAnsi="Times New Roman"/>
          <w:caps w:val="false"/>
          <w:smallCaps w:val="false"/>
          <w:sz w:val="20"/>
        </w:rPr>
        <w:t>’</w:t>
      </w:r>
      <w:r>
        <w:rPr>
          <w:rFonts w:ascii="Times New Roman" w:hAnsi="Times New Roman"/>
          <w:i/>
          <w:caps w:val="false"/>
          <w:smallCaps w:val="false"/>
          <w:sz w:val="20"/>
        </w:rPr>
        <w:t>s management based on information currently available to management and should be considered in connection with any written or oral forward-looking statements that the Company may issue in the future as well as other cautionary statements the Company has made and may make. Except as required by law, the Company does not undertake any obligation to release publicly any revisions to these forward-looking statements after completion of the filing of this Quarterly Report on Form 10-Q to reflect later events or circumstances or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The discussion of the Company</w:t>
      </w:r>
      <w:r>
        <w:rPr>
          <w:rFonts w:ascii="Times New Roman" w:hAnsi="Times New Roman"/>
          <w:caps w:val="false"/>
          <w:smallCaps w:val="false"/>
          <w:sz w:val="20"/>
        </w:rPr>
        <w:t>’</w:t>
      </w:r>
      <w:r>
        <w:rPr>
          <w:rFonts w:ascii="Times New Roman" w:hAnsi="Times New Roman"/>
          <w:i/>
          <w:caps w:val="false"/>
          <w:smallCaps w:val="false"/>
          <w:sz w:val="20"/>
        </w:rPr>
        <w:t>s financial condition and results of operations should be read in conjunction with the Company</w:t>
      </w:r>
      <w:r>
        <w:rPr>
          <w:rFonts w:ascii="Times New Roman" w:hAnsi="Times New Roman"/>
          <w:caps w:val="false"/>
          <w:smallCaps w:val="false"/>
          <w:sz w:val="20"/>
        </w:rPr>
        <w:t>’</w:t>
      </w:r>
      <w:r>
        <w:rPr>
          <w:rFonts w:ascii="Times New Roman" w:hAnsi="Times New Roman"/>
          <w:i/>
          <w:caps w:val="false"/>
          <w:smallCaps w:val="false"/>
          <w:sz w:val="20"/>
        </w:rPr>
        <w:t>s Condensed Consolidated Financial Statements and the related Notes thereto included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bookmarkStart w:id="3" w:name="part1"/>
      <w:bookmarkEnd w:id="3"/>
      <w:r>
        <w:rPr>
          <w:rFonts w:ascii="Times New Roman;Times;serif" w:hAnsi="Times New Roman;Times;serif"/>
          <w:b/>
          <w:sz w:val="20"/>
        </w:rPr>
        <w:t>PART I</w:t>
      </w:r>
      <w:r>
        <w:rPr>
          <w:rFonts w:ascii="Times New Roman;Times;serif" w:hAnsi="Times New Roman;Times;serif"/>
          <w:sz w:val="20"/>
        </w:rPr>
        <w:t>—</w:t>
      </w:r>
      <w:r>
        <w:rPr>
          <w:rFonts w:ascii="Times New Roman;Times;serif" w:hAnsi="Times New Roman;Times;serif"/>
          <w:b/>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4" w:name="fs"/>
      <w:bookmarkEnd w:id="4"/>
      <w:r>
        <w:rPr>
          <w:rFonts w:ascii="Times New Roman" w:hAnsi="Times New Roman"/>
          <w:b/>
          <w:caps w:val="false"/>
          <w:smallCaps w:val="false"/>
          <w:sz w:val="20"/>
        </w:rPr>
        <w:t>Item 1.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8"/>
        <w:gridCol w:w="60"/>
        <w:gridCol w:w="146"/>
        <w:gridCol w:w="884"/>
        <w:gridCol w:w="80"/>
        <w:gridCol w:w="60"/>
        <w:gridCol w:w="175"/>
        <w:gridCol w:w="1060"/>
        <w:gridCol w:w="82"/>
      </w:tblGrid>
      <w:tr>
        <w:trPr/>
        <w:tc>
          <w:tcPr>
            <w:tcW w:w="76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center"/>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17,998</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13,749</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3,190</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38,719</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49,542</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6,948</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Seller notes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and other current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8,804</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19,298</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19,525</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10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0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$0.0001 par value, 500,000,000 shares authorized and 10,013,759 and 8,750,741 shares outstanding at June 30,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745,140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742,591</w:t>
            </w:r>
          </w:p>
        </w:tc>
        <w:tc>
          <w:tcPr>
            <w:tcW w:w="82" w:type="dxa"/>
            <w:tcBorders/>
            <w:shd w:fill="FFFFFF" w:val="clear"/>
            <w:vAlign w:val="center"/>
          </w:tcPr>
          <w:p>
            <w:pPr>
              <w:pStyle w:val="TableContents"/>
              <w:bidi w:val="0"/>
              <w:spacing w:before="0" w:after="283"/>
              <w:jc w:val="left"/>
              <w:rPr/>
            </w:pPr>
            <w:r>
              <w:rPr/>
              <w:t> </w:t>
            </w:r>
          </w:p>
        </w:tc>
      </w:tr>
      <w:tr>
        <w:trPr/>
        <w:tc>
          <w:tcPr>
            <w:tcW w:w="765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ind w:left="0" w:right="0" w:hanging="0"/>
              <w:jc w:val="left"/>
              <w:rPr/>
            </w:pPr>
            <w:r>
              <w:rPr/>
              <w:t> </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(711,677</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5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30,017</w:t>
            </w:r>
          </w:p>
        </w:tc>
        <w:tc>
          <w:tcPr>
            <w:tcW w:w="82" w:type="dxa"/>
            <w:tcBorders/>
            <w:shd w:fill="CCEEFF" w:val="clear"/>
            <w:vAlign w:val="center"/>
          </w:tcPr>
          <w:p>
            <w:pPr>
              <w:pStyle w:val="TableContents"/>
              <w:bidi w:val="0"/>
              <w:spacing w:before="0" w:after="283"/>
              <w:jc w:val="left"/>
              <w:rPr/>
            </w:pPr>
            <w:r>
              <w:rPr/>
              <w:t> </w:t>
            </w:r>
          </w:p>
        </w:tc>
      </w:tr>
      <w:tr>
        <w:trPr/>
        <w:tc>
          <w:tcPr>
            <w:tcW w:w="76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49,542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ATERIAN,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Operations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except share and per share data)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18"/>
        <w:gridCol w:w="60"/>
        <w:gridCol w:w="153"/>
        <w:gridCol w:w="1038"/>
        <w:gridCol w:w="98"/>
        <w:gridCol w:w="153"/>
        <w:gridCol w:w="1038"/>
        <w:gridCol w:w="80"/>
        <w:gridCol w:w="141"/>
        <w:gridCol w:w="955"/>
        <w:gridCol w:w="90"/>
        <w:gridCol w:w="141"/>
        <w:gridCol w:w="955"/>
        <w:gridCol w:w="85"/>
      </w:tblGrid>
      <w:tr>
        <w:trPr/>
        <w:tc>
          <w:tcPr>
            <w:tcW w:w="5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80"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ind w:left="0" w:right="0" w:hanging="0"/>
              <w:jc w:val="left"/>
              <w:rPr/>
            </w:pPr>
            <w:r>
              <w:rPr/>
              <w:t> </w:t>
            </w:r>
          </w:p>
        </w:tc>
        <w:tc>
          <w:tcPr>
            <w:tcW w:w="2282"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5" w:type="dxa"/>
            <w:tcBorders/>
            <w:shd w:fill="FFFF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8"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ind w:left="0" w:right="0" w:hanging="0"/>
              <w:jc w:val="left"/>
              <w:rPr/>
            </w:pPr>
            <w:r>
              <w:rPr/>
              <w:t> </w:t>
            </w:r>
          </w:p>
        </w:tc>
        <w:tc>
          <w:tcPr>
            <w:tcW w:w="10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5" w:type="dxa"/>
            <w:tcBorders/>
            <w:shd w:fill="FFFFFF" w:val="clear"/>
            <w:vAlign w:val="center"/>
          </w:tcPr>
          <w:p>
            <w:pPr>
              <w:pStyle w:val="TableContents"/>
              <w:bidi w:val="0"/>
              <w:spacing w:before="0" w:after="283"/>
              <w:jc w:val="left"/>
              <w:rPr/>
            </w:pPr>
            <w:r>
              <w:rPr/>
              <w:t> </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19,462</w:t>
            </w:r>
          </w:p>
        </w:tc>
        <w:tc>
          <w:tcPr>
            <w:tcW w:w="98"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27,984</w:t>
            </w:r>
          </w:p>
        </w:tc>
        <w:tc>
          <w:tcPr>
            <w:tcW w:w="8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9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8,896</w:t>
            </w:r>
          </w:p>
        </w:tc>
        <w:tc>
          <w:tcPr>
            <w:tcW w:w="98"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11,093</w:t>
            </w:r>
          </w:p>
        </w:tc>
        <w:tc>
          <w:tcPr>
            <w:tcW w:w="8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14,832</w:t>
            </w:r>
          </w:p>
        </w:tc>
        <w:tc>
          <w:tcPr>
            <w:tcW w:w="9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18,139</w:t>
            </w:r>
          </w:p>
        </w:tc>
        <w:tc>
          <w:tcPr>
            <w:tcW w:w="85" w:type="dxa"/>
            <w:tcBorders/>
            <w:shd w:fill="FFFFFF" w:val="clear"/>
            <w:vAlign w:val="center"/>
          </w:tcPr>
          <w:p>
            <w:pPr>
              <w:pStyle w:val="TableContents"/>
              <w:bidi w:val="0"/>
              <w:spacing w:before="0" w:after="283"/>
              <w:jc w:val="left"/>
              <w:rPr/>
            </w:pPr>
            <w:r>
              <w:rPr/>
              <w:t> </w:t>
            </w:r>
          </w:p>
        </w:tc>
      </w:tr>
      <w:tr>
        <w:trPr/>
        <w:tc>
          <w:tcPr>
            <w:tcW w:w="5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10,566</w:t>
            </w:r>
          </w:p>
        </w:tc>
        <w:tc>
          <w:tcPr>
            <w:tcW w:w="98"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16,891</w:t>
            </w:r>
          </w:p>
        </w:tc>
        <w:tc>
          <w:tcPr>
            <w:tcW w:w="8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19,990</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21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w:t>
            </w:r>
          </w:p>
        </w:tc>
        <w:tc>
          <w:tcPr>
            <w:tcW w:w="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15,162</w:t>
            </w:r>
          </w:p>
        </w:tc>
        <w:tc>
          <w:tcPr>
            <w:tcW w:w="8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22,018</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28,376</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w:t>
            </w:r>
          </w:p>
        </w:tc>
        <w:tc>
          <w:tcPr>
            <w:tcW w:w="98"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4,934</w:t>
            </w:r>
          </w:p>
        </w:tc>
        <w:tc>
          <w:tcPr>
            <w:tcW w:w="8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w:t>
            </w:r>
          </w:p>
        </w:tc>
        <w:tc>
          <w:tcPr>
            <w:tcW w:w="9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5" w:type="dxa"/>
            <w:tcBorders/>
            <w:shd w:fill="FFFFFF" w:val="clear"/>
            <w:vAlign w:val="center"/>
          </w:tcPr>
          <w:p>
            <w:pPr>
              <w:pStyle w:val="TableContents"/>
              <w:bidi w:val="0"/>
              <w:spacing w:before="0" w:after="283"/>
              <w:jc w:val="left"/>
              <w:rPr/>
            </w:pPr>
            <w:r>
              <w:rPr/>
              <w:t> </w:t>
            </w:r>
          </w:p>
        </w:tc>
      </w:tr>
      <w:tr>
        <w:trPr/>
        <w:tc>
          <w:tcPr>
            <w:tcW w:w="5218"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15,071</w:t>
            </w:r>
          </w:p>
        </w:tc>
        <w:tc>
          <w:tcPr>
            <w:tcW w:w="98"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20,096</w:t>
            </w:r>
          </w:p>
        </w:tc>
        <w:tc>
          <w:tcPr>
            <w:tcW w:w="8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28,191</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38,542</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(8,201</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w:t>
            </w:r>
          </w:p>
        </w:tc>
        <w:tc>
          <w:tcPr>
            <w:tcW w:w="98"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552</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157</w:t>
            </w:r>
          </w:p>
        </w:tc>
        <w:tc>
          <w:tcPr>
            <w:tcW w:w="98" w:type="dxa"/>
            <w:tcBorders/>
            <w:shd w:fill="CCEEFF" w:val="clear"/>
            <w:vAlign w:val="center"/>
          </w:tcPr>
          <w:p>
            <w:pPr>
              <w:pStyle w:val="TableContents"/>
              <w:bidi w:val="0"/>
              <w:spacing w:before="0" w:after="283"/>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217</w:t>
            </w:r>
          </w:p>
        </w:tc>
        <w:tc>
          <w:tcPr>
            <w:tcW w:w="9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(8,725</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98" w:type="dxa"/>
            <w:tcBorders/>
            <w:shd w:fill="CCEEFF" w:val="clear"/>
            <w:vAlign w:val="center"/>
          </w:tcPr>
          <w:p>
            <w:pPr>
              <w:pStyle w:val="TableContents"/>
              <w:bidi w:val="0"/>
              <w:spacing w:before="0" w:after="283"/>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9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5" w:type="dxa"/>
            <w:tcBorders/>
            <w:shd w:fill="CCEEFF" w:val="clear"/>
            <w:vAlign w:val="center"/>
          </w:tcPr>
          <w:p>
            <w:pPr>
              <w:pStyle w:val="TableContents"/>
              <w:bidi w:val="0"/>
              <w:spacing w:before="0" w:after="283"/>
              <w:jc w:val="left"/>
              <w:rPr/>
            </w:pPr>
            <w:r>
              <w:rPr/>
              <w:t> </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 basic and diluted</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7,674,910</w:t>
            </w:r>
          </w:p>
        </w:tc>
        <w:tc>
          <w:tcPr>
            <w:tcW w:w="98"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6,973,218</w:t>
            </w:r>
          </w:p>
        </w:tc>
        <w:tc>
          <w:tcPr>
            <w:tcW w:w="8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7,564,523</w:t>
            </w:r>
          </w:p>
        </w:tc>
        <w:tc>
          <w:tcPr>
            <w:tcW w:w="9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6,881,648</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7" w:name="comploss"/>
      <w:bookmarkEnd w:id="7"/>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Condensed Consolidated Statements of Comprehensive Loss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left"/>
        <w:rPr>
          <w:caps w:val="false"/>
          <w:smallCaps w:val="false"/>
        </w:rPr>
      </w:pPr>
      <w:r>
        <w:rPr>
          <w:caps w:val="false"/>
          <w:smallCaps w:val="false"/>
        </w:rPr>
        <w:t> </w:t>
      </w:r>
    </w:p>
    <w:tbl>
      <w:tblPr>
        <w:tblW w:w="8418" w:type="dxa"/>
        <w:jc w:val="left"/>
        <w:tblInd w:w="0" w:type="dxa"/>
        <w:tblLayout w:type="fixed"/>
        <w:tblCellMar>
          <w:top w:w="0" w:type="dxa"/>
          <w:left w:w="0" w:type="dxa"/>
          <w:bottom w:w="0" w:type="dxa"/>
          <w:right w:w="0" w:type="dxa"/>
        </w:tblCellMar>
      </w:tblPr>
      <w:tblGrid>
        <w:gridCol w:w="3335"/>
        <w:gridCol w:w="60"/>
        <w:gridCol w:w="211"/>
        <w:gridCol w:w="924"/>
        <w:gridCol w:w="135"/>
        <w:gridCol w:w="101"/>
        <w:gridCol w:w="211"/>
        <w:gridCol w:w="924"/>
        <w:gridCol w:w="80"/>
        <w:gridCol w:w="60"/>
        <w:gridCol w:w="194"/>
        <w:gridCol w:w="846"/>
        <w:gridCol w:w="124"/>
        <w:gridCol w:w="93"/>
        <w:gridCol w:w="194"/>
        <w:gridCol w:w="846"/>
        <w:gridCol w:w="8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35"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135"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(4,512</w:t>
            </w:r>
          </w:p>
        </w:tc>
        <w:tc>
          <w:tcPr>
            <w:tcW w:w="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(8,273</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8"/>
        <w:gridCol w:w="60"/>
        <w:gridCol w:w="60"/>
        <w:gridCol w:w="950"/>
        <w:gridCol w:w="80"/>
        <w:gridCol w:w="60"/>
        <w:gridCol w:w="220"/>
        <w:gridCol w:w="460"/>
        <w:gridCol w:w="60"/>
        <w:gridCol w:w="60"/>
        <w:gridCol w:w="177"/>
        <w:gridCol w:w="990"/>
        <w:gridCol w:w="60"/>
        <w:gridCol w:w="60"/>
        <w:gridCol w:w="158"/>
        <w:gridCol w:w="957"/>
        <w:gridCol w:w="80"/>
        <w:gridCol w:w="60"/>
        <w:gridCol w:w="459"/>
        <w:gridCol w:w="1455"/>
        <w:gridCol w:w="80"/>
        <w:gridCol w:w="60"/>
        <w:gridCol w:w="228"/>
        <w:gridCol w:w="1080"/>
        <w:gridCol w:w="83"/>
      </w:tblGrid>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2025</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BALANCE—April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8,748,741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(715,573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27,039</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(119,533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jc w:val="left"/>
              <w:rPr/>
            </w:pPr>
            <w:r>
              <w:rPr/>
              <w:t> </w:t>
            </w:r>
          </w:p>
        </w:tc>
        <w:tc>
          <w:tcPr>
            <w:tcW w:w="1455" w:type="dxa"/>
            <w:tcBorders/>
            <w:shd w:fill="FFFFFF" w:val="clear"/>
            <w:vAlign w:val="center"/>
          </w:tcPr>
          <w:p>
            <w:pPr>
              <w:pStyle w:val="TableContents"/>
              <w:bidi w:val="0"/>
              <w:spacing w:before="0" w:after="283"/>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1,766</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4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348</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745,140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58"/>
        <w:gridCol w:w="60"/>
        <w:gridCol w:w="60"/>
        <w:gridCol w:w="845"/>
        <w:gridCol w:w="80"/>
        <w:gridCol w:w="60"/>
        <w:gridCol w:w="220"/>
        <w:gridCol w:w="460"/>
        <w:gridCol w:w="60"/>
        <w:gridCol w:w="60"/>
        <w:gridCol w:w="179"/>
        <w:gridCol w:w="1001"/>
        <w:gridCol w:w="60"/>
        <w:gridCol w:w="60"/>
        <w:gridCol w:w="158"/>
        <w:gridCol w:w="957"/>
        <w:gridCol w:w="80"/>
        <w:gridCol w:w="60"/>
        <w:gridCol w:w="467"/>
        <w:gridCol w:w="1479"/>
        <w:gridCol w:w="80"/>
        <w:gridCol w:w="60"/>
        <w:gridCol w:w="229"/>
        <w:gridCol w:w="1089"/>
        <w:gridCol w:w="83"/>
      </w:tblGrid>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 2024</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BALANCE—April 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7,656,044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738,805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(704,977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32,950</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(3,629</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(266,866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1,546</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BALANCE—June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8,587,159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(708,606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30,887</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Equity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(in thousands, except share and per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08"/>
        <w:gridCol w:w="60"/>
        <w:gridCol w:w="60"/>
        <w:gridCol w:w="950"/>
        <w:gridCol w:w="80"/>
        <w:gridCol w:w="60"/>
        <w:gridCol w:w="220"/>
        <w:gridCol w:w="460"/>
        <w:gridCol w:w="60"/>
        <w:gridCol w:w="60"/>
        <w:gridCol w:w="177"/>
        <w:gridCol w:w="990"/>
        <w:gridCol w:w="60"/>
        <w:gridCol w:w="60"/>
        <w:gridCol w:w="158"/>
        <w:gridCol w:w="957"/>
        <w:gridCol w:w="80"/>
        <w:gridCol w:w="60"/>
        <w:gridCol w:w="459"/>
        <w:gridCol w:w="1455"/>
        <w:gridCol w:w="80"/>
        <w:gridCol w:w="60"/>
        <w:gridCol w:w="228"/>
        <w:gridCol w:w="1080"/>
        <w:gridCol w:w="83"/>
      </w:tblGrid>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8,750,741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30,017</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1,384,551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jc w:val="left"/>
              <w:rPr/>
            </w:pPr>
            <w:r>
              <w:rPr/>
              <w:t> </w:t>
            </w:r>
          </w:p>
        </w:tc>
        <w:tc>
          <w:tcPr>
            <w:tcW w:w="14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shd w:fill="FFFFFF" w:val="clear"/>
            <w:vAlign w:val="center"/>
          </w:tcPr>
          <w:p>
            <w:pPr>
              <w:pStyle w:val="TableContents"/>
              <w:bidi w:val="0"/>
              <w:spacing w:before="0" w:after="283"/>
              <w:ind w:left="0" w:right="0" w:hanging="0"/>
              <w:jc w:val="left"/>
              <w:rPr/>
            </w:pPr>
            <w:r>
              <w:rPr/>
              <w:t> </w:t>
            </w:r>
          </w:p>
        </w:tc>
        <w:tc>
          <w:tcPr>
            <w:tcW w:w="145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9" w:type="dxa"/>
            <w:tcBorders/>
            <w:shd w:fill="CCEEFF" w:val="clear"/>
            <w:vAlign w:val="center"/>
          </w:tcPr>
          <w:p>
            <w:pPr>
              <w:pStyle w:val="TableContents"/>
              <w:bidi w:val="0"/>
              <w:spacing w:before="0" w:after="283"/>
              <w:ind w:left="0" w:right="0" w:hanging="0"/>
              <w:jc w:val="left"/>
              <w:rPr/>
            </w:pPr>
            <w:r>
              <w:rPr/>
              <w:t> </w:t>
            </w:r>
          </w:p>
        </w:tc>
        <w:tc>
          <w:tcPr>
            <w:tcW w:w="14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2,549</w:t>
            </w:r>
          </w:p>
        </w:tc>
        <w:tc>
          <w:tcPr>
            <w:tcW w:w="83" w:type="dxa"/>
            <w:tcBorders/>
            <w:shd w:fill="CCEEFF" w:val="clear"/>
            <w:vAlign w:val="center"/>
          </w:tcPr>
          <w:p>
            <w:pPr>
              <w:pStyle w:val="TableContents"/>
              <w:bidi w:val="0"/>
              <w:spacing w:before="0" w:after="283"/>
              <w:jc w:val="left"/>
              <w:rPr/>
            </w:pPr>
            <w:r>
              <w:rPr/>
              <w:t> </w:t>
            </w:r>
          </w:p>
        </w:tc>
      </w:tr>
      <w:tr>
        <w:trPr/>
        <w:tc>
          <w:tcPr>
            <w:tcW w:w="220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83" w:type="dxa"/>
            <w:tcBorders/>
            <w:shd w:fill="FFFFFF" w:val="clear"/>
            <w:vAlign w:val="center"/>
          </w:tcPr>
          <w:p>
            <w:pPr>
              <w:pStyle w:val="TableContents"/>
              <w:bidi w:val="0"/>
              <w:spacing w:before="0" w:after="283"/>
              <w:jc w:val="left"/>
              <w:rPr/>
            </w:pPr>
            <w:r>
              <w:rPr/>
              <w:t> </w:t>
            </w:r>
          </w:p>
        </w:tc>
      </w:tr>
      <w:tr>
        <w:trPr/>
        <w:tc>
          <w:tcPr>
            <w:tcW w:w="22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10,013,759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745,140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(720,433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5"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24,293</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58"/>
        <w:gridCol w:w="60"/>
        <w:gridCol w:w="60"/>
        <w:gridCol w:w="845"/>
        <w:gridCol w:w="80"/>
        <w:gridCol w:w="60"/>
        <w:gridCol w:w="220"/>
        <w:gridCol w:w="460"/>
        <w:gridCol w:w="60"/>
        <w:gridCol w:w="60"/>
        <w:gridCol w:w="179"/>
        <w:gridCol w:w="1001"/>
        <w:gridCol w:w="60"/>
        <w:gridCol w:w="60"/>
        <w:gridCol w:w="158"/>
        <w:gridCol w:w="957"/>
        <w:gridCol w:w="80"/>
        <w:gridCol w:w="60"/>
        <w:gridCol w:w="467"/>
        <w:gridCol w:w="1479"/>
        <w:gridCol w:w="80"/>
        <w:gridCol w:w="60"/>
        <w:gridCol w:w="229"/>
        <w:gridCol w:w="1089"/>
        <w:gridCol w:w="83"/>
      </w:tblGrid>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0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2024</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 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 Other 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 Stockholders’</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7,508,246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(699,815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36,031</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of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1,209,649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ind w:left="0" w:right="0" w:hanging="0"/>
              <w:jc w:val="left"/>
              <w:rPr/>
            </w:pPr>
            <w:r>
              <w:rPr/>
              <w:t> </w:t>
            </w:r>
          </w:p>
        </w:tc>
        <w:tc>
          <w:tcPr>
            <w:tcW w:w="147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ind w:left="0" w:right="0" w:hanging="0"/>
              <w:jc w:val="left"/>
              <w:rPr/>
            </w:pPr>
            <w:r>
              <w:rPr/>
              <w:t> </w:t>
            </w:r>
          </w:p>
        </w:tc>
        <w:tc>
          <w:tcPr>
            <w:tcW w:w="1089"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Forfeiture of shares of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(309,516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pPr>
            <w:r>
              <w:rPr>
                <w:rStyle w:val="Emphasis"/>
              </w:rPr>
              <w:t>—</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178,780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670</w:t>
            </w:r>
          </w:p>
        </w:tc>
        <w:tc>
          <w:tcPr>
            <w:tcW w:w="83" w:type="dxa"/>
            <w:tcBorders/>
            <w:shd w:fill="CCEEFF" w:val="clear"/>
            <w:vAlign w:val="center"/>
          </w:tcPr>
          <w:p>
            <w:pPr>
              <w:pStyle w:val="TableContents"/>
              <w:bidi w:val="0"/>
              <w:spacing w:before="0" w:after="283"/>
              <w:jc w:val="left"/>
              <w:rPr/>
            </w:pPr>
            <w:r>
              <w:rPr/>
              <w:t> </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ind w:left="0" w:right="0" w:hanging="0"/>
              <w:jc w:val="left"/>
              <w:rPr/>
            </w:pPr>
            <w:r>
              <w:rPr/>
              <w:t> </w:t>
            </w:r>
          </w:p>
        </w:tc>
        <w:tc>
          <w:tcPr>
            <w:tcW w:w="147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ind w:left="0" w:right="0" w:hanging="0"/>
              <w:jc w:val="left"/>
              <w:rPr/>
            </w:pPr>
            <w:r>
              <w:rPr/>
              <w:t> </w:t>
            </w:r>
          </w:p>
        </w:tc>
        <w:tc>
          <w:tcPr>
            <w:tcW w:w="10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w:t>
            </w:r>
          </w:p>
        </w:tc>
        <w:tc>
          <w:tcPr>
            <w:tcW w:w="83" w:type="dxa"/>
            <w:tcBorders/>
            <w:shd w:fill="FFFFFF" w:val="clear"/>
            <w:vAlign w:val="center"/>
          </w:tcPr>
          <w:p>
            <w:pPr>
              <w:pStyle w:val="TableContents"/>
              <w:bidi w:val="0"/>
              <w:spacing w:before="0" w:after="283"/>
              <w:jc w:val="left"/>
              <w:rPr/>
            </w:pPr>
            <w:r>
              <w:rPr/>
              <w:t> </w:t>
            </w:r>
          </w:p>
        </w:tc>
      </w:tr>
      <w:tr>
        <w:trPr/>
        <w:tc>
          <w:tcPr>
            <w:tcW w:w="2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BALANCE—June 30,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8,587,159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(708,606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30,887</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9" w:name="cashflows"/>
      <w:bookmarkEnd w:id="9"/>
      <w:r>
        <w:rPr>
          <w:rFonts w:ascii="Times New Roman" w:hAnsi="Times New Roman"/>
          <w:b/>
          <w:caps w:val="false"/>
          <w:smallCaps w:val="false"/>
          <w:sz w:val="20"/>
        </w:rPr>
        <w:t xml:space="preserve">ATERIAN, INC.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(Unaudited)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tbl>
      <w:tblPr>
        <w:tblW w:w="8128" w:type="dxa"/>
        <w:jc w:val="left"/>
        <w:tblInd w:w="0" w:type="dxa"/>
        <w:tblLayout w:type="fixed"/>
        <w:tblCellMar>
          <w:top w:w="0" w:type="dxa"/>
          <w:left w:w="0" w:type="dxa"/>
          <w:bottom w:w="0" w:type="dxa"/>
          <w:right w:w="0" w:type="dxa"/>
        </w:tblCellMar>
      </w:tblPr>
      <w:tblGrid>
        <w:gridCol w:w="6020"/>
        <w:gridCol w:w="60"/>
        <w:gridCol w:w="143"/>
        <w:gridCol w:w="750"/>
        <w:gridCol w:w="104"/>
        <w:gridCol w:w="78"/>
        <w:gridCol w:w="143"/>
        <w:gridCol w:w="750"/>
        <w:gridCol w:w="80"/>
      </w:tblGrid>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8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6"/>
              </w:rPr>
              <w:t>2024</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(8,756</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Adjustments to reconcile net loss to 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812</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858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sales returns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(49</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87</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deferred financing cost and debt discounts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121</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905</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4,588</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deferred tax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inventory provisions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574</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(1,301</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(90</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Allowance for credit losses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(147</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Accounts receivable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897</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462</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Inventory</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(5,322</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3,313</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(91</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(656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Accounts payable, accrued and other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2,905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4,789</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(8,287</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2,896</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INVESTING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fixed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 of minority equity investment</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used in investing activities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(242</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on seller notes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(113</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Borrowings from MidCap credit facilities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23,424</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29,637</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Repayments for MidCap credit facilities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(23,220</w:t>
            </w:r>
          </w:p>
        </w:tc>
        <w:tc>
          <w:tcPr>
            <w:tcW w:w="104"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(31,275</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obligation payments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(409</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(315</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Insurance financing proceeds</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706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388</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effect on cash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448</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(29</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change in cash and restricted cash for the period</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(7,457</w:t>
            </w:r>
          </w:p>
        </w:tc>
        <w:tc>
          <w:tcPr>
            <w:tcW w:w="10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5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289</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and restricted cash at beginning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19,143</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22,195</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Cash and restricted 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11,686</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22,484</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RECONCILIATION OF CASH AND RESTRICTED CASH:</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10,495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20,328</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Cash—Prepaid and other current assets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1,061</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2,027</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cash—Other non-current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130</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16"/>
              </w:rPr>
            </w:pPr>
            <w:r>
              <w:rPr>
                <w:rFonts w:ascii="Times New Roman;Times;serif" w:hAnsi="Times New Roman;Times;serif"/>
                <w:sz w:val="16"/>
              </w:rPr>
              <w:t>129</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CASH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11,686</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22,484</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interest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395</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660</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for taxes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151</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02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consideration paid to contractors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620</w:t>
            </w:r>
          </w:p>
        </w:tc>
        <w:tc>
          <w:tcPr>
            <w:tcW w:w="80" w:type="dxa"/>
            <w:tcBorders/>
            <w:shd w:fill="CCEEFF" w:val="clear"/>
            <w:vAlign w:val="center"/>
          </w:tcPr>
          <w:p>
            <w:pPr>
              <w:pStyle w:val="TableContents"/>
              <w:bidi w:val="0"/>
              <w:spacing w:before="0" w:after="283"/>
              <w:jc w:val="left"/>
              <w:rPr/>
            </w:pPr>
            <w:r>
              <w:rPr/>
              <w:t> </w:t>
            </w:r>
          </w:p>
        </w:tc>
      </w:tr>
      <w:tr>
        <w:trPr/>
        <w:tc>
          <w:tcPr>
            <w:tcW w:w="602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minority equity investment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jc w:val="right"/>
              <w:rPr/>
            </w:pPr>
            <w:r>
              <w:rPr/>
              <w:t>—</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75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0" w:name="notes"/>
      <w:bookmarkEnd w:id="10"/>
      <w:r>
        <w:rPr>
          <w:rFonts w:ascii="Times New Roman;Times;serif" w:hAnsi="Times New Roman;Times;serif"/>
          <w:b/>
          <w:sz w:val="20"/>
        </w:rPr>
        <w:t xml:space="preserve">Aterian, Inc.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Notes to Condensed Consolidated Financial Statements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 the Three and Six Months Ended June 30, 2025 and 2024 (Unaudited)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COMPANY OVERVIEW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Aterian, Inc. (the "Company")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Headquartered in New Jersey, the Company also maintains offices in China, the Philippines, and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are focusing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future results could be materially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are actively pursuing mitigation strategies—including supplier negotiations, selective price adjustments, potential geographic diversification of sourcing and fixed cost reductions—there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adversely impact our liquidity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achieve such profitability or do so in a manner that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our continued reliance on outside capital. Moreover, while we have historically been successful in raising outside capital,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continue to obtain outside capital in the future or do so on terms that are acceptable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the date the accompanying Condensed Consolidated Financial Statements were issued (the “issuance date”), we evaluated the significance of the following adverse financial conditions in accordance with Accounting Standard Codification ("ASC")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pPr>
      <w:r>
        <w:rPr/>
        <w:t xml:space="preserve">• </w:t>
      </w:r>
      <w:r>
        <w:rPr>
          <w:rFonts w:ascii="Times New Roman" w:hAnsi="Times New Roman"/>
          <w:sz w:val="20"/>
        </w:rPr>
        <w:t xml:space="preserve">Since our inception, we have incurred significant losses and used cash flows from operations to fund our enterprise. In this regard, during the </w:t>
      </w:r>
      <w:r>
        <w:rPr>
          <w:rStyle w:val="Emphasis"/>
          <w:rFonts w:ascii="Times New Roman" w:hAnsi="Times New Roman"/>
          <w:sz w:val="20"/>
        </w:rPr>
        <w:t>six</w:t>
      </w:r>
      <w:r>
        <w:rPr>
          <w:rFonts w:ascii="Times New Roman" w:hAnsi="Times New Roman"/>
          <w:sz w:val="20"/>
        </w:rPr>
        <w:t xml:space="preserve"> months ended </w:t>
      </w:r>
      <w:r>
        <w:rPr>
          <w:rStyle w:val="Emphasis"/>
          <w:rFonts w:ascii="Times New Roman" w:hAnsi="Times New Roman"/>
          <w:sz w:val="20"/>
        </w:rPr>
        <w:t>June 30, 2025</w:t>
      </w:r>
      <w:r>
        <w:rPr>
          <w:rFonts w:ascii="Times New Roman" w:hAnsi="Times New Roman"/>
          <w:sz w:val="20"/>
        </w:rPr>
        <w:t xml:space="preserve">, we incurred a net loss of $8.8 million and used net cash flows from operations of $8.3 million. In addition, as of </w:t>
      </w:r>
      <w:r>
        <w:rPr>
          <w:rStyle w:val="Emphasis"/>
          <w:rFonts w:ascii="Times New Roman" w:hAnsi="Times New Roman"/>
          <w:sz w:val="20"/>
        </w:rPr>
        <w:t>June 30, 2025</w:t>
      </w:r>
      <w:r>
        <w:rPr>
          <w:rFonts w:ascii="Times New Roman" w:hAnsi="Times New Roman"/>
          <w:sz w:val="20"/>
        </w:rPr>
        <w:t>, we had unrestricted cash of $10.5 million available to fund our operations and an accumulated deficit of $720.4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We are required to remain in compliance with certain financial covenants required by the MidCap Credit facility (See Note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Fonts w:ascii="Times New Roman" w:hAnsi="Times New Roman"/>
          <w:i/>
          <w:caps w:val="false"/>
          <w:smallCaps w:val="false"/>
          <w:sz w:val="20"/>
        </w:rPr>
        <w:t>Credit Facility and Warrants</w:t>
      </w:r>
      <w:r>
        <w:rPr>
          <w:rFonts w:ascii="Times New Roman" w:hAnsi="Times New Roman"/>
          <w:caps w:val="false"/>
          <w:smallCaps w:val="false"/>
          <w:sz w:val="20"/>
        </w:rPr>
        <w:t xml:space="preserve">). We were in compliance with these financial covenants as of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expect to remain in compliance through at least </w:t>
      </w:r>
      <w:r>
        <w:rPr>
          <w:rStyle w:val="Emphasis"/>
          <w:rFonts w:ascii="Times New Roman" w:hAnsi="Times New Roman"/>
          <w:caps w:val="false"/>
          <w:smallCaps w:val="false"/>
          <w:sz w:val="20"/>
        </w:rPr>
        <w:t>September 30, 2026. </w:t>
      </w:r>
      <w:r>
        <w:rPr>
          <w:rFonts w:ascii="Times New Roman" w:hAnsi="Times New Roman"/>
          <w:caps w:val="false"/>
          <w:smallCaps w:val="false"/>
          <w:sz w:val="20"/>
        </w:rPr>
        <w:t xml:space="preserve">However, if our mitigation strategies to address the impact of tariffs are unsuccessful,  we can provide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we will remain in compliance with our financial covenants. During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the Company amended its terms with Midcap Credit Facility extending the term until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 xml:space="preserve">and amending certain financial covenants with favorable terms.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at its discretion, exercise any and all of its existing rights and remedies,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As of the issuance date, we have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firm commitments to secure additional outside capital from lenders or investors. While we expect to continue to explore raising additional outside capital, specifically if we pursue material M&amp;A opportunities,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we will be able to obtain capital or do so on terms that are acceptable to us. Accordingly, absent our ability to generate cash inflows from our operations and/or secure additional outside capital in the near term,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unable to meet our obligations as they become due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beyond the issuance date.</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the Company announced a fixed cost reduction plan, which includes a workforce reduction affecting approximately 20 employees. The Company expects to substantially complete this reduction by the end of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connection with this plan, the Company recognized restructuring charges of approximately $1.8 million, of which $1.0 million is recorded in Sales and Distribution expenses and $0.8 million is recorded in General and Administrative expenses, primarily related to severance,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Severance payments are expected to be made through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Combined with other vendor-related cost reductions, the plan is expected to generate annualized savings of approximately $5 to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pPr>
      <w:r>
        <w:rPr>
          <w:caps w:val="false"/>
          <w:smallCaps w:val="false"/>
        </w:rPr>
        <w:t xml:space="preserve">• </w:t>
      </w:r>
      <w:r>
        <w:rPr>
          <w:rFonts w:ascii="Times New Roman" w:hAnsi="Times New Roman"/>
          <w:caps w:val="false"/>
          <w:smallCaps w:val="false"/>
          <w:sz w:val="20"/>
        </w:rPr>
        <w:t xml:space="preserve">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If some or all of our plans prove unsuccessful,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need to implement short-term changes to our operating plan, including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delaying expenditures, reducing investments in new products, or reducing our sale and distribution infrastructure.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from the outcome of these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5170" w:type="dxa"/>
        <w:jc w:val="left"/>
        <w:tblInd w:w="0" w:type="dxa"/>
        <w:tblLayout w:type="fixed"/>
        <w:tblCellMar>
          <w:top w:w="0" w:type="dxa"/>
          <w:left w:w="0" w:type="dxa"/>
          <w:bottom w:w="0" w:type="dxa"/>
          <w:right w:w="0" w:type="dxa"/>
        </w:tblCellMar>
      </w:tblPr>
      <w:tblGrid>
        <w:gridCol w:w="170"/>
        <w:gridCol w:w="500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2.</w:t>
            </w:r>
          </w:p>
        </w:tc>
        <w:tc>
          <w:tcPr>
            <w:tcW w:w="500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Basis of Presentation</w:t>
      </w:r>
      <w:r>
        <w:rPr>
          <w:rFonts w:ascii="Times New Roman" w:hAnsi="Times New Roman"/>
          <w:caps w:val="false"/>
          <w:smallCaps w:val="false"/>
          <w:sz w:val="20"/>
        </w:rPr>
        <w:t>—The Condensed Consolidated Financial Statements and accompanying notes have been prepared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Unaudited Interim Financial Information</w:t>
      </w:r>
      <w:r>
        <w:rPr>
          <w:rFonts w:ascii="Times New Roman" w:hAnsi="Times New Roman"/>
          <w:caps w:val="false"/>
          <w:smallCaps w:val="false"/>
          <w:sz w:val="20"/>
        </w:rPr>
        <w:t>—The accompanying interim Condensed Consolidated Financial Statements are unaudited and have been prepared on the same basis as the audited consolidated financial statements and, in the opinion of management, reflect all adjustments necessary for the fair presentation of the Company's financial position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and the results of its operations and its cash flows for the periods ended </w:t>
      </w:r>
      <w:r>
        <w:rPr>
          <w:rStyle w:val="Emphasis"/>
          <w:rFonts w:ascii="Times New Roman" w:hAnsi="Times New Roman"/>
          <w:caps w:val="false"/>
          <w:smallCaps w:val="false"/>
          <w:sz w:val="20"/>
        </w:rPr>
        <w:t>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financial data and other information disclosed in these notes related to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are also unaudited. 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results to be expected for the year ending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any other interim periods or any future year 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Condensed Consolidated Balance Sheet 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presented herein, has been derived from the Company’s audited Consolidated Financial Statements for the fiscal year then ended. These unaudited Condensed Consolidated Interim Financial Statements should be read in conjunction with our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xml:space="preserve"> as filed with the SEC on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“Annual Report”) and have been prepared on a consistent basis with the accounting policies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the Notes to Consolidated Financial Statements included in our Annual Report. Our accounting policies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other than with respect to the new accounting pronouncements adopted as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t>
      </w:r>
      <w:r>
        <w:rPr>
          <w:rFonts w:ascii="Times New Roman" w:hAnsi="Times New Roman"/>
          <w:i/>
          <w:caps w:val="false"/>
          <w:smallCaps w:val="false"/>
          <w:sz w:val="20"/>
        </w:rPr>
        <w:t>Recent Accounting Pronouncements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accompanying unaudited condensed consolidated financial statements have been prepared in accordance with accounting principles generally accepted in the United States of America (“U.S. GAAP”) for interim financial information and with the instructions to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Accordingly, they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disclosures required by U.S. GAAP for complete financial statements. In the opinion of management, such statements include all adjustments (consisting only of normal recurring items) which are considered necessary for a fair presentation of the condensed consolidated financial statements of the Company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then 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—Preparation of financial statements in conformity with U.S. GAAP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covered by the condensed consolidated financial statements and accompanying notes. Management evaluates its estimates and assumptions on an ongoing basis using historical experience and other factors, including the current economic environment, and makes adjustments when facts and circumstances dictate. As future events and their effects cannot be determined with precision,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—The Condensed Consolidated Financial Statements include the accounts of the Company and its wholly-owned subsidiaries. All intercompany balances and transactions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has classified the following as restricted cash: $0.1 million related to its Chinese subsidiary within “Other Noncurrent Assets” on the Condensed Consolidated Balance Sheets, $1.0 million related to a letter of credit and $0.1 million for cash sweeps account related to the Midcap Credit Facility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2024</w:t>
      </w:r>
      <w:r>
        <w:rPr>
          <w:rFonts w:ascii="Times New Roman" w:hAnsi="Times New Roman"/>
          <w:caps w:val="false"/>
          <w:smallCaps w:val="false"/>
          <w:sz w:val="20"/>
        </w:rPr>
        <w:t>, the Company has classified the following as restricted cash: $0.1 million related to its Chinese subsidiary within “Other Non-current Assets” on the Condensed Consolidated Balance Sheets and $1.0 million related to a letter of credit within "Prepaid and Other Current Assets" on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Inventory and Cost of Goods Sold</w:t>
      </w:r>
      <w:r>
        <w:rPr>
          <w:rFonts w:ascii="Times New Roman" w:hAnsi="Times New Roman"/>
          <w:caps w:val="false"/>
          <w:smallCaps w:val="false"/>
          <w:sz w:val="20"/>
        </w:rPr>
        <w:t xml:space="preserve">—The Company’s inventory consists almost entirely of finished goods. The Company currently records inventory on its balance sheet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or net realizable value, if it is below the Company’s recorded cost. The Company’s costs include the amounts it pays manufacturers for product, tariffs and duties associated with transporting product across national borders, and freight costs associated with transporting the product from its manufacturers to its warehouses, as applicable. The valuation of our inventory requires us to make judgments, based on available information such as historical data, about the likely method of disposition, such as through sales to individual customers or liquidations, and expected recoverable values of each disposition category. Changes to the relevant assumptions and projections would impact our consolidated financial results in periods subsequent to recording these estimates. If we anticipate a change in assumptions such as future demand or market conditions to be less favorable than our previous estimates, additional inventory write-downs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Conversely, if we are able to sell inventories that had been written down to a level below the ultimate realized selling price in a previous period, sales would be recorded with a lower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offsetting charge to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“Cost of goods sold” line item in the Condensed consolidated statements of operations consists of the book value of inventory sold to customers during the reporting period. When circumstances dictate that the Company use net realizable value as the basis for recording inventory, it bases its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Accounts Receivable</w:t>
      </w:r>
      <w:r>
        <w:rPr>
          <w:rFonts w:ascii="Times New Roman" w:hAnsi="Times New Roman"/>
          <w:caps w:val="false"/>
          <w:smallCaps w:val="false"/>
          <w:sz w:val="20"/>
        </w:rPr>
        <w:t xml:space="preserve">—Accounts receivable are stated at historical cost less allowance for credit losses.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received payments based on agreed-upon terms. The Company generally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security or collateral to support its receivables. The Company performs ongoing evaluations of its customers and maintains an allowance for credit losses.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did not have an allowance for credit losses. As of </w:t>
      </w:r>
      <w:r>
        <w:rPr>
          <w:rStyle w:val="Emphasis"/>
          <w:rFonts w:ascii="Times New Roman" w:hAnsi="Times New Roman"/>
          <w:caps w:val="false"/>
          <w:smallCaps w:val="false"/>
          <w:sz w:val="20"/>
        </w:rPr>
        <w:t xml:space="preserve"> December 31, 2024</w:t>
      </w:r>
      <w:r>
        <w:rPr>
          <w:rFonts w:ascii="Times New Roman" w:hAnsi="Times New Roman"/>
          <w:caps w:val="false"/>
          <w:smallCaps w:val="false"/>
          <w:sz w:val="20"/>
        </w:rPr>
        <w:t>, the Company had an allowance for credit losses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—The Company accounts for revenue in accordance with Financial Accounting Standards Board (“FASB”) Accounting Standard Codification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Revenue from Contracts with Customers (“ASC Topic </w:t>
      </w:r>
      <w:r>
        <w:rPr>
          <w:rStyle w:val="Emphasis"/>
          <w:rFonts w:ascii="Times New Roman" w:hAnsi="Times New Roman"/>
          <w:caps w:val="false"/>
          <w:smallCaps w:val="false"/>
          <w:sz w:val="20"/>
        </w:rPr>
        <w:t>606”</w:t>
      </w:r>
      <w:r>
        <w:rPr>
          <w:rFonts w:ascii="Times New Roman" w:hAnsi="Times New Roman"/>
          <w:caps w:val="false"/>
          <w:smallCaps w:val="false"/>
          <w:sz w:val="20"/>
        </w:rPr>
        <w:t>). The Company derives its revenue from the sale of consumer products. The Company sells its products directly to consumers through online retail channels and through wholesale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direct-to-consumer sales, the Company considers customer order confirmations to be a contract with the customer. Customer confirmations are executed at the time an order is placed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online channels. For wholesale sales, the Company considers the customer purchase order to be the contract.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all of the Company’s sales and distribution channels, revenue is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Revenue from consumer product sales is recorded at the net sales price (transaction price), which includes an estimate of future returns based on historical return rates. There is judgment in utilizing historical trends for estimating future returns. The Company’s refund liability for sales returns was $0.2 million at </w:t>
      </w:r>
      <w:r>
        <w:rPr>
          <w:rStyle w:val="Emphasis"/>
          <w:rFonts w:ascii="Times New Roman" w:hAnsi="Times New Roman"/>
          <w:caps w:val="false"/>
          <w:smallCaps w:val="false"/>
          <w:sz w:val="20"/>
        </w:rPr>
        <w:t>June 30, 2025 </w:t>
      </w:r>
      <w:r>
        <w:rPr>
          <w:rFonts w:ascii="Times New Roman" w:hAnsi="Times New Roman"/>
          <w:caps w:val="false"/>
          <w:smallCaps w:val="false"/>
          <w:sz w:val="20"/>
        </w:rPr>
        <w:t xml:space="preserve">and $0.3 million at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which is included in accrued and other current liabilities on the Condensed Consolidated Balance Sheets and represents the expected value of the refund that will be due to its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evaluated principal versus agent considerations to determine whether it is appropriate to record platform fees paid to Amazon as an expense or as a reduction of revenue. Platform fees are recorded as sales and distribution expenses and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as a reduction of revenue because the Company owns and controls all the goods before they are transferred to the customer. The Company can, at any time, direct Amazon,  or similarly direct other </w:t>
      </w:r>
      <w:r>
        <w:rPr>
          <w:rStyle w:val="Emphasis"/>
          <w:rFonts w:ascii="Times New Roman" w:hAnsi="Times New Roman"/>
          <w:caps w:val="false"/>
          <w:smallCaps w:val="false"/>
          <w:sz w:val="20"/>
        </w:rPr>
        <w:t>third</w:t>
      </w:r>
      <w:r>
        <w:rPr>
          <w:rFonts w:ascii="Times New Roman" w:hAnsi="Times New Roman"/>
          <w:caps w:val="false"/>
          <w:smallCaps w:val="false"/>
          <w:sz w:val="20"/>
        </w:rPr>
        <w:t>-party logistics providers (“Logistics Providers”), to return the Company’s inventory to any location specified by the Company. It is the Company’s responsibility to make customers whole following any returns made by customers directly to Logistic Providers and the Company retains the back-end inventory risk. Further, the Company is subject to credit risk (i.e., credit card charge 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Revenue by Category</w:t>
      </w:r>
      <w:r>
        <w:rPr>
          <w:rFonts w:ascii="Times New Roman" w:hAnsi="Times New Roman"/>
          <w:caps w:val="false"/>
          <w:smallCaps w:val="false"/>
          <w:sz w:val="20"/>
        </w:rPr>
        <w:t>. The following tables set forth the Company’s net revenue disaggregated by sales channel and geographic region based on the billing addresses of its customers:</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1445"/>
        <w:gridCol w:w="60"/>
        <w:gridCol w:w="163"/>
        <w:gridCol w:w="769"/>
        <w:gridCol w:w="78"/>
        <w:gridCol w:w="78"/>
        <w:gridCol w:w="288"/>
        <w:gridCol w:w="1126"/>
        <w:gridCol w:w="78"/>
        <w:gridCol w:w="78"/>
        <w:gridCol w:w="163"/>
        <w:gridCol w:w="769"/>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590"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Direct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Wholesale/Other</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9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North America</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16,581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1,617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18,198</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17,845</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307" w:type="dxa"/>
        <w:jc w:val="left"/>
        <w:tblInd w:w="0" w:type="dxa"/>
        <w:tblLayout w:type="fixed"/>
        <w:tblCellMar>
          <w:top w:w="0" w:type="dxa"/>
          <w:left w:w="0" w:type="dxa"/>
          <w:bottom w:w="0" w:type="dxa"/>
          <w:right w:w="0" w:type="dxa"/>
        </w:tblCellMar>
      </w:tblPr>
      <w:tblGrid>
        <w:gridCol w:w="1445"/>
        <w:gridCol w:w="60"/>
        <w:gridCol w:w="174"/>
        <w:gridCol w:w="824"/>
        <w:gridCol w:w="83"/>
        <w:gridCol w:w="83"/>
        <w:gridCol w:w="384"/>
        <w:gridCol w:w="1030"/>
        <w:gridCol w:w="83"/>
        <w:gridCol w:w="83"/>
        <w:gridCol w:w="174"/>
        <w:gridCol w:w="824"/>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4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 2024</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42"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Direct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Wholesale/Other</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26,300</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3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26,455</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3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27,829</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27,984</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4999" w:type="dxa"/>
        <w:jc w:val="left"/>
        <w:tblInd w:w="0" w:type="dxa"/>
        <w:tblLayout w:type="fixed"/>
        <w:tblCellMar>
          <w:top w:w="0" w:type="dxa"/>
          <w:left w:w="0" w:type="dxa"/>
          <w:bottom w:w="0" w:type="dxa"/>
          <w:right w:w="0" w:type="dxa"/>
        </w:tblCellMar>
      </w:tblPr>
      <w:tblGrid>
        <w:gridCol w:w="1445"/>
        <w:gridCol w:w="60"/>
        <w:gridCol w:w="151"/>
        <w:gridCol w:w="715"/>
        <w:gridCol w:w="72"/>
        <w:gridCol w:w="72"/>
        <w:gridCol w:w="288"/>
        <w:gridCol w:w="1126"/>
        <w:gridCol w:w="72"/>
        <w:gridCol w:w="72"/>
        <w:gridCol w:w="151"/>
        <w:gridCol w:w="715"/>
        <w:gridCol w:w="60"/>
      </w:tblGrid>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 2025</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34"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Direct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Wholesale/Other</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8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North America</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30,168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32,191</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2,631</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2,631</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186" w:type="dxa"/>
        <w:jc w:val="left"/>
        <w:tblInd w:w="0" w:type="dxa"/>
        <w:tblLayout w:type="fixed"/>
        <w:tblCellMar>
          <w:top w:w="0" w:type="dxa"/>
          <w:left w:w="0" w:type="dxa"/>
          <w:bottom w:w="0" w:type="dxa"/>
          <w:right w:w="0" w:type="dxa"/>
        </w:tblCellMar>
      </w:tblPr>
      <w:tblGrid>
        <w:gridCol w:w="1445"/>
        <w:gridCol w:w="60"/>
        <w:gridCol w:w="162"/>
        <w:gridCol w:w="765"/>
        <w:gridCol w:w="77"/>
        <w:gridCol w:w="77"/>
        <w:gridCol w:w="396"/>
        <w:gridCol w:w="1063"/>
        <w:gridCol w:w="77"/>
        <w:gridCol w:w="77"/>
        <w:gridCol w:w="162"/>
        <w:gridCol w:w="765"/>
        <w:gridCol w:w="60"/>
      </w:tblGrid>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2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2024</w:t>
            </w:r>
          </w:p>
        </w:tc>
        <w:tc>
          <w:tcPr>
            <w:tcW w:w="6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21" w:type="dxa"/>
            <w:gridSpan w:val="1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Direct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Wholesale/Other</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60" w:type="dxa"/>
            <w:tcBorders/>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3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45,320</w:t>
            </w:r>
          </w:p>
        </w:tc>
        <w:tc>
          <w:tcPr>
            <w:tcW w:w="60" w:type="dxa"/>
            <w:tcBorders/>
            <w:shd w:fill="CCEEFF" w:val="clear"/>
            <w:vAlign w:val="center"/>
          </w:tcPr>
          <w:p>
            <w:pPr>
              <w:pStyle w:val="TableContents"/>
              <w:bidi w:val="0"/>
              <w:spacing w:before="0" w:after="283"/>
              <w:jc w:val="left"/>
              <w:rPr/>
            </w:pPr>
            <w:r>
              <w:rPr/>
              <w:t> </w:t>
            </w:r>
          </w:p>
        </w:tc>
      </w:tr>
      <w:tr>
        <w:trPr/>
        <w:tc>
          <w:tcPr>
            <w:tcW w:w="1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3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w:t>
            </w:r>
          </w:p>
        </w:tc>
        <w:tc>
          <w:tcPr>
            <w:tcW w:w="60" w:type="dxa"/>
            <w:tcBorders/>
            <w:shd w:fill="FFFFFF" w:val="clear"/>
            <w:vAlign w:val="center"/>
          </w:tcPr>
          <w:p>
            <w:pPr>
              <w:pStyle w:val="TableContents"/>
              <w:bidi w:val="0"/>
              <w:spacing w:before="0" w:after="283"/>
              <w:jc w:val="left"/>
              <w:rPr/>
            </w:pPr>
            <w:r>
              <w:rPr/>
              <w:t> </w:t>
            </w:r>
          </w:p>
        </w:tc>
      </w:tr>
      <w:tr>
        <w:trPr/>
        <w:tc>
          <w:tcPr>
            <w:tcW w:w="1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i/>
          <w:caps w:val="false"/>
          <w:smallCaps w:val="false"/>
          <w:sz w:val="20"/>
        </w:rPr>
        <w:t>Net Revenue by Product Categories</w:t>
      </w:r>
      <w:r>
        <w:rPr>
          <w:rFonts w:ascii="Times New Roman" w:hAnsi="Times New Roman"/>
          <w:caps w:val="false"/>
          <w:smallCaps w:val="false"/>
          <w:sz w:val="20"/>
        </w:rPr>
        <w:t xml:space="preserve">. The following tables set forth the Company’s net revenue disaggregated by product categories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648" w:type="dxa"/>
        <w:jc w:val="left"/>
        <w:tblInd w:w="0" w:type="dxa"/>
        <w:tblLayout w:type="fixed"/>
        <w:tblCellMar>
          <w:top w:w="0" w:type="dxa"/>
          <w:left w:w="0" w:type="dxa"/>
          <w:bottom w:w="0" w:type="dxa"/>
          <w:right w:w="0" w:type="dxa"/>
        </w:tblCellMar>
      </w:tblPr>
      <w:tblGrid>
        <w:gridCol w:w="3020"/>
        <w:gridCol w:w="60"/>
        <w:gridCol w:w="202"/>
        <w:gridCol w:w="955"/>
        <w:gridCol w:w="97"/>
        <w:gridCol w:w="97"/>
        <w:gridCol w:w="202"/>
        <w:gridCol w:w="95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10,396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3,288</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3,892</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3020"/>
        <w:gridCol w:w="60"/>
        <w:gridCol w:w="185"/>
        <w:gridCol w:w="875"/>
        <w:gridCol w:w="89"/>
        <w:gridCol w:w="89"/>
        <w:gridCol w:w="185"/>
        <w:gridCol w:w="87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Intangibles</w:t>
      </w:r>
      <w:r>
        <w:rPr>
          <w:rFonts w:ascii="Times New Roman" w:hAnsi="Times New Roman"/>
          <w:caps w:val="false"/>
          <w:smallCaps w:val="false"/>
          <w:sz w:val="20"/>
        </w:rPr>
        <w:t xml:space="preserve">—We review long-lived assets for impairment when performance expectations, events, or changes in circumstances indicate that the asset's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The evaluation is performed at the lowest level of identifiable cash flows by comparing the carrying value of the asset group to the undiscounted cash flows. If the evaluation indicates that the carrying amount of the assets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These fair value measurements require significant judgements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inputs, such as discounted projected future cash flows,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observable from the market, directly or indirectly. There is uncertainty in the projected future cash flows used in the Company’s impairment analysis, which requires the use of estimates and assumptions. If actual performance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achieve the projections, or if the assumptions used in the analysis change in the future,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recognize additional impairment charges in future periods. Key assumptions in the impairment models included a discount and royalty rate. The Company believes our procedures for determining fair value are reasonable and consistent with current market conditions 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implementation of new tariffs raised concerns about potential negative effects on the Company’s revenue and profitability. As a result, the Company identified a triggering event and performed a recoverability test for the relevant asset groups. Based on this assessment, the Company concluded that the undiscounted future cash flows expected to be generated from these asset groups exceeded their carrying amounts. Accordingly,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impairment was recognized as of </w:t>
      </w:r>
      <w:r>
        <w:rPr>
          <w:rStyle w:val="Emphasis"/>
          <w:rFonts w:ascii="Times New Roman" w:hAnsi="Times New Roman"/>
          <w:caps w:val="false"/>
          <w:smallCaps w:val="false"/>
          <w:sz w:val="20"/>
        </w:rPr>
        <w:t>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events to test intangibles for impairment loss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materialize, we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record intangible impairment charges,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caps w:val="false"/>
          <w:smallCaps w:val="false"/>
          <w:sz w:val="20"/>
        </w:rPr>
        <w:t>Fair Value of Financial Instruments</w:t>
      </w:r>
      <w:r>
        <w:rPr>
          <w:rFonts w:ascii="Times New Roman" w:hAnsi="Times New Roman"/>
          <w:caps w:val="false"/>
          <w:smallCaps w:val="false"/>
          <w:sz w:val="20"/>
        </w:rPr>
        <w:t xml:space="preserve">—The Company’s financial instruments, including net accounts receivable, accounts payable, and accrued and other current liabilities are carried at historical cost. At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the carrying amounts of these instruments approximated their fair values because of their short-term nature. The Company’s credit facility is carried at amortized cost at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and the carrying amount approximates fair value as the stated interest rate approximates market rates currently available to the Company.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the stock purchase warrants issued in connection with the Company’s common stock offering on </w:t>
      </w:r>
      <w:r>
        <w:rPr>
          <w:rStyle w:val="Emphasis"/>
          <w:rFonts w:ascii="Times New Roman" w:hAnsi="Times New Roman"/>
          <w:caps w:val="false"/>
          <w:smallCaps w:val="false"/>
          <w:sz w:val="20"/>
        </w:rPr>
        <w:t xml:space="preserve">March 1, 2022 </w:t>
      </w:r>
      <w:r>
        <w:rPr>
          <w:rFonts w:ascii="Times New Roman" w:hAnsi="Times New Roman"/>
          <w:caps w:val="false"/>
          <w:smallCaps w:val="false"/>
          <w:sz w:val="20"/>
        </w:rPr>
        <w:t xml:space="preserve">were measured using the Black-Scholes model. Inputs used to determine the estimated fair value of the warrant liabilities include the fair value of the underlying stock at the valuation date, the term of the warrants, and the expected volatility of the underlying stock. The significant unobservable input used in the fair value measurement of the warrant liabilities is the estimated term of the warrants. Upon the issuance of the stock purchase warrants, the Company evaluated the terms of each warrant to determine the appropriate accounting and classification pursuant to FASB ASC Topic </w:t>
      </w:r>
      <w:r>
        <w:rPr>
          <w:rStyle w:val="Emphasis"/>
          <w:rFonts w:ascii="Times New Roman" w:hAnsi="Times New Roman"/>
          <w:caps w:val="false"/>
          <w:smallCaps w:val="false"/>
          <w:sz w:val="20"/>
        </w:rPr>
        <w:t>480,</w:t>
      </w:r>
      <w:r>
        <w:rPr>
          <w:rFonts w:ascii="Times New Roman" w:hAnsi="Times New Roman"/>
          <w:caps w:val="false"/>
          <w:smallCaps w:val="false"/>
          <w:sz w:val="20"/>
        </w:rPr>
        <w:t xml:space="preserve"> </w:t>
      </w:r>
      <w:r>
        <w:rPr>
          <w:rFonts w:ascii="Times New Roman" w:hAnsi="Times New Roman"/>
          <w:i/>
          <w:caps w:val="false"/>
          <w:smallCaps w:val="false"/>
          <w:sz w:val="20"/>
        </w:rPr>
        <w:t>Distinguishing Liabilities from Equity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480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and FASB Accounting Standards Codification Topic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w:t>
      </w:r>
      <w:r>
        <w:rPr>
          <w:rFonts w:ascii="Times New Roman" w:hAnsi="Times New Roman"/>
          <w:i/>
          <w:caps w:val="false"/>
          <w:smallCaps w:val="false"/>
          <w:sz w:val="20"/>
        </w:rPr>
        <w:t>Derivatives and Hedging (</w:t>
      </w:r>
      <w:r>
        <w:rPr>
          <w:rFonts w:ascii="Times New Roman" w:hAnsi="Times New Roman"/>
          <w:caps w:val="false"/>
          <w:smallCaps w:val="false"/>
          <w:sz w:val="20"/>
        </w:rPr>
        <w:t>“</w:t>
      </w:r>
      <w:r>
        <w:rPr>
          <w:rFonts w:ascii="Times New Roman" w:hAnsi="Times New Roman"/>
          <w:i/>
          <w:caps w:val="false"/>
          <w:smallCaps w:val="false"/>
          <w:sz w:val="20"/>
        </w:rPr>
        <w:t xml:space="preserve">ASC </w:t>
      </w:r>
      <w:r>
        <w:rPr>
          <w:rStyle w:val="Emphasis"/>
          <w:rFonts w:ascii="Times New Roman" w:hAnsi="Times New Roman"/>
          <w:i/>
          <w:caps w:val="false"/>
          <w:smallCaps w:val="false"/>
          <w:sz w:val="20"/>
        </w:rPr>
        <w:t>815</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Based on the Company’s evaluation and due to certain terms in the warrant agreements, it concluded the stock purchase warrants should be classified as liabilities with subsequent remeasurement as long as such warrants continue to be classified as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for disclosure of fair value measurements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1</w:t>
      </w:r>
      <w:r>
        <w:rPr>
          <w:rFonts w:ascii="Times New Roman" w:hAnsi="Times New Roman"/>
          <w:caps w:val="false"/>
          <w:smallCaps w:val="false"/>
          <w:sz w:val="20"/>
        </w:rPr>
        <w:t>—Inputs are unadjusted, quoted prices in active markets for identical assets or liabilities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2</w:t>
      </w:r>
      <w:r>
        <w:rPr>
          <w:rFonts w:ascii="Times New Roman" w:hAnsi="Times New Roman"/>
          <w:caps w:val="false"/>
          <w:smallCaps w:val="false"/>
          <w:sz w:val="20"/>
        </w:rPr>
        <w:t xml:space="preserve">—Inputs are observable, unadjusted quoted prices in active markets for similar assets or liabilities, unadjusted quoted prices for identical or similar assets or liabilities in markets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active, or other inputs that are observable or can be corroborated by observable market data for substantially the full term of the related assets or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Level </w:t>
      </w:r>
      <w:r>
        <w:rPr>
          <w:rStyle w:val="Emphasis"/>
          <w:rFonts w:ascii="Times New Roman" w:hAnsi="Times New Roman"/>
          <w:i/>
          <w:caps w:val="false"/>
          <w:smallCaps w:val="false"/>
          <w:sz w:val="20"/>
        </w:rPr>
        <w:t>3</w:t>
      </w:r>
      <w:r>
        <w:rPr>
          <w:rFonts w:ascii="Times New Roman" w:hAnsi="Times New Roman"/>
          <w:caps w:val="false"/>
          <w:smallCaps w:val="false"/>
          <w:sz w:val="20"/>
        </w:rPr>
        <w:t xml:space="preserve">—Unobservable inputs that are supported by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related assets or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fair value of the Company’s financial assets that are measured at fair value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2690"/>
        <w:gridCol w:w="60"/>
        <w:gridCol w:w="149"/>
        <w:gridCol w:w="647"/>
        <w:gridCol w:w="149"/>
        <w:gridCol w:w="149"/>
        <w:gridCol w:w="149"/>
        <w:gridCol w:w="647"/>
        <w:gridCol w:w="149"/>
        <w:gridCol w:w="149"/>
        <w:gridCol w:w="149"/>
        <w:gridCol w:w="571"/>
        <w:gridCol w:w="60"/>
      </w:tblGrid>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08" w:type="dxa"/>
            <w:gridSpan w:val="1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 Measurement Category</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Fair value of warrant liabilities</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pPr>
            <w:r>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5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596" w:type="dxa"/>
        <w:jc w:val="left"/>
        <w:tblInd w:w="0" w:type="dxa"/>
        <w:tblLayout w:type="fixed"/>
        <w:tblCellMar>
          <w:top w:w="0" w:type="dxa"/>
          <w:left w:w="0" w:type="dxa"/>
          <w:bottom w:w="0" w:type="dxa"/>
          <w:right w:w="0" w:type="dxa"/>
        </w:tblCellMar>
      </w:tblPr>
      <w:tblGrid>
        <w:gridCol w:w="2510"/>
        <w:gridCol w:w="60"/>
        <w:gridCol w:w="139"/>
        <w:gridCol w:w="606"/>
        <w:gridCol w:w="139"/>
        <w:gridCol w:w="139"/>
        <w:gridCol w:w="139"/>
        <w:gridCol w:w="606"/>
        <w:gridCol w:w="139"/>
        <w:gridCol w:w="139"/>
        <w:gridCol w:w="139"/>
        <w:gridCol w:w="781"/>
        <w:gridCol w:w="6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966"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Measurement Category</w:t>
            </w:r>
          </w:p>
        </w:tc>
        <w:tc>
          <w:tcPr>
            <w:tcW w:w="60"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139"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606"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of warrant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606" w:type="dxa"/>
            <w:tcBorders/>
            <w:shd w:fill="FFFFFF" w:val="clear"/>
            <w:vAlign w:val="center"/>
          </w:tcPr>
          <w:p>
            <w:pPr>
              <w:pStyle w:val="TableContents"/>
              <w:bidi w:val="0"/>
              <w:spacing w:before="0" w:after="283"/>
              <w:ind w:left="0" w:right="0" w:hanging="0"/>
              <w:jc w:val="righ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7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A summary of the activity of the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liabilities carried at fair value on a recurring basis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June 30, 2024 </w:t>
      </w:r>
      <w:r>
        <w:rPr>
          <w:rFonts w:ascii="Times New Roman" w:hAnsi="Times New Roman"/>
          <w:caps w:val="false"/>
          <w:smallCaps w:val="false"/>
          <w:sz w:val="20"/>
        </w:rPr>
        <w:t>is as follows (in thousands):</w:t>
      </w:r>
    </w:p>
    <w:p>
      <w:pPr>
        <w:pStyle w:val="TextBody"/>
        <w:bidi w:val="0"/>
        <w:spacing w:before="0" w:after="0"/>
        <w:ind w:left="0" w:right="0" w:hanging="0"/>
        <w:jc w:val="left"/>
        <w:rPr>
          <w:caps w:val="false"/>
          <w:smallCaps w:val="false"/>
        </w:rPr>
      </w:pPr>
      <w:r>
        <w:rPr>
          <w:caps w:val="false"/>
          <w:smallCaps w:val="false"/>
        </w:rPr>
        <w:t> </w:t>
      </w:r>
    </w:p>
    <w:tbl>
      <w:tblPr>
        <w:tblW w:w="4649" w:type="dxa"/>
        <w:jc w:val="left"/>
        <w:tblInd w:w="0" w:type="dxa"/>
        <w:tblLayout w:type="fixed"/>
        <w:tblCellMar>
          <w:top w:w="0" w:type="dxa"/>
          <w:left w:w="0" w:type="dxa"/>
          <w:bottom w:w="0" w:type="dxa"/>
          <w:right w:w="0" w:type="dxa"/>
        </w:tblCellMar>
      </w:tblPr>
      <w:tblGrid>
        <w:gridCol w:w="3320"/>
        <w:gridCol w:w="60"/>
        <w:gridCol w:w="323"/>
        <w:gridCol w:w="866"/>
        <w:gridCol w:w="8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January 1, 2025</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Warrants liabilities as of 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649" w:type="dxa"/>
        <w:jc w:val="left"/>
        <w:tblInd w:w="0" w:type="dxa"/>
        <w:tblLayout w:type="fixed"/>
        <w:tblCellMar>
          <w:top w:w="0" w:type="dxa"/>
          <w:left w:w="0" w:type="dxa"/>
          <w:bottom w:w="0" w:type="dxa"/>
          <w:right w:w="0" w:type="dxa"/>
        </w:tblCellMar>
      </w:tblPr>
      <w:tblGrid>
        <w:gridCol w:w="3320"/>
        <w:gridCol w:w="60"/>
        <w:gridCol w:w="243"/>
        <w:gridCol w:w="946"/>
        <w:gridCol w:w="80"/>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2024</w:t>
            </w:r>
          </w:p>
        </w:tc>
        <w:tc>
          <w:tcPr>
            <w:tcW w:w="80"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January 1, 2024</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w:t>
            </w:r>
          </w:p>
        </w:tc>
        <w:tc>
          <w:tcPr>
            <w:tcW w:w="8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liabilities as of June 30, 2024</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2023, </w:t>
      </w:r>
      <w:r>
        <w:rPr>
          <w:rFonts w:ascii="Times New Roman" w:hAnsi="Times New Roman"/>
          <w:caps w:val="false"/>
          <w:smallCaps w:val="false"/>
          <w:sz w:val="20"/>
        </w:rPr>
        <w:t xml:space="preserve">the FASB finalized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This ASU provides for certain updates to enhance the transparency about companies’ exposure to changes in tax legislation and the global tax risk they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face. Under the guidance, companies will be required to provide a breakout of amounts paid for taxes between federal, state, and foreign taxing jurisdictions, rather than a lump sum amount. Further, the rate reconciliation will require disaggregation into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specific categories, with these categories further disaggregated by jurisdiction and for amounts exceeding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percent of their domestic tax rate. The rate reconciliation will need to also disclose both dollar amounts and percentages. This standard is effective for fiscal years beginning after </w:t>
      </w:r>
      <w:r>
        <w:rPr>
          <w:rStyle w:val="Emphasis"/>
          <w:rFonts w:ascii="Times New Roman" w:hAnsi="Times New Roman"/>
          <w:caps w:val="false"/>
          <w:smallCaps w:val="false"/>
          <w:sz w:val="20"/>
        </w:rPr>
        <w:t xml:space="preserve">December 15, 2024. </w:t>
      </w:r>
      <w:r>
        <w:rPr>
          <w:rFonts w:ascii="Times New Roman" w:hAnsi="Times New Roman"/>
          <w:caps w:val="false"/>
          <w:smallCaps w:val="false"/>
          <w:sz w:val="20"/>
        </w:rPr>
        <w:t xml:space="preserve">The Company is currently evaluating the impact and will adopt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in its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ending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consistent with the effective date of the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requiring public entities to disclose additional information about specific expense categories in the notes to the financial statements on an interim and annual basis.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with early adoption permitted. The Company is currently evaluating the impact of adopting ASU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have reviewed all other recently issued accounting pronouncements and concluded that they were either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applicable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expected to have a significant impact to the condensed consolidated financial statements.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3.</w:t>
            </w:r>
          </w:p>
        </w:tc>
        <w:tc>
          <w:tcPr>
            <w:tcW w:w="242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RECEIVABLE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Accounts receivable consisted of the following as of </w:t>
      </w:r>
      <w:r>
        <w:rPr>
          <w:rStyle w:val="Emphasis"/>
          <w:rFonts w:ascii="Times New Roman;Times;serif" w:hAnsi="Times New Roman;Times;serif"/>
          <w:sz w:val="20"/>
        </w:rPr>
        <w:t xml:space="preserve">June 30, 2025 </w:t>
      </w:r>
      <w:r>
        <w:rPr>
          <w:rFonts w:ascii="Times New Roman;Times;serif" w:hAnsi="Times New Roman;Times;serif"/>
          <w:sz w:val="20"/>
        </w:rPr>
        <w:t xml:space="preserve">and </w:t>
      </w:r>
      <w:r>
        <w:rPr>
          <w:rStyle w:val="Emphasis"/>
          <w:rFonts w:ascii="Times New Roman;Times;serif" w:hAnsi="Times New Roman;Times;serif"/>
          <w:sz w:val="20"/>
        </w:rPr>
        <w:t>December 31, 2024 (</w:t>
      </w:r>
      <w:r>
        <w:rPr>
          <w:rFonts w:ascii="Times New Roman;Times;serif" w:hAnsi="Times New Roman;Times;serif"/>
          <w:sz w:val="20"/>
        </w:rPr>
        <w:t>in thousands):</w:t>
      </w:r>
    </w:p>
    <w:p>
      <w:pPr>
        <w:pStyle w:val="TextBody"/>
        <w:bidi w:val="0"/>
        <w:spacing w:before="0" w:after="0"/>
        <w:ind w:left="0" w:right="0" w:hanging="0"/>
        <w:jc w:val="left"/>
        <w:rPr/>
      </w:pPr>
      <w:r>
        <w:rPr/>
        <w:t> </w:t>
      </w:r>
    </w:p>
    <w:tbl>
      <w:tblPr>
        <w:tblW w:w="5253" w:type="dxa"/>
        <w:jc w:val="left"/>
        <w:tblInd w:w="0" w:type="dxa"/>
        <w:tblLayout w:type="fixed"/>
        <w:tblCellMar>
          <w:top w:w="0" w:type="dxa"/>
          <w:left w:w="0" w:type="dxa"/>
          <w:bottom w:w="0" w:type="dxa"/>
          <w:right w:w="0" w:type="dxa"/>
        </w:tblCellMar>
      </w:tblPr>
      <w:tblGrid>
        <w:gridCol w:w="2195"/>
        <w:gridCol w:w="60"/>
        <w:gridCol w:w="243"/>
        <w:gridCol w:w="946"/>
        <w:gridCol w:w="60"/>
        <w:gridCol w:w="60"/>
        <w:gridCol w:w="329"/>
        <w:gridCol w:w="1280"/>
        <w:gridCol w:w="80"/>
      </w:tblGrid>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3,929</w:t>
            </w:r>
          </w:p>
        </w:tc>
        <w:tc>
          <w:tcPr>
            <w:tcW w:w="8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4.</w:t>
            </w:r>
          </w:p>
        </w:tc>
        <w:tc>
          <w:tcPr>
            <w:tcW w:w="11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Inventory consisted of the following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4633" w:type="dxa"/>
        <w:jc w:val="left"/>
        <w:tblInd w:w="0" w:type="dxa"/>
        <w:tblLayout w:type="fixed"/>
        <w:tblCellMar>
          <w:top w:w="0" w:type="dxa"/>
          <w:left w:w="0" w:type="dxa"/>
          <w:bottom w:w="0" w:type="dxa"/>
          <w:right w:w="0" w:type="dxa"/>
        </w:tblCellMar>
      </w:tblPr>
      <w:tblGrid>
        <w:gridCol w:w="1595"/>
        <w:gridCol w:w="60"/>
        <w:gridCol w:w="208"/>
        <w:gridCol w:w="981"/>
        <w:gridCol w:w="60"/>
        <w:gridCol w:w="60"/>
        <w:gridCol w:w="280"/>
        <w:gridCol w:w="1329"/>
        <w:gridCol w:w="60"/>
      </w:tblGrid>
      <w:tr>
        <w:trPr/>
        <w:tc>
          <w:tcPr>
            <w:tcW w:w="15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December 31, 2024</w:t>
            </w:r>
          </w:p>
        </w:tc>
        <w:tc>
          <w:tcPr>
            <w:tcW w:w="60" w:type="dxa"/>
            <w:tcBorders/>
            <w:shd w:fill="FFFFFF" w:val="clear"/>
            <w:vAlign w:val="center"/>
          </w:tcPr>
          <w:p>
            <w:pPr>
              <w:pStyle w:val="TableContents"/>
              <w:bidi w:val="0"/>
              <w:spacing w:before="0" w:after="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on-hand</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12,484</w:t>
            </w:r>
          </w:p>
        </w:tc>
        <w:tc>
          <w:tcPr>
            <w:tcW w:w="60" w:type="dxa"/>
            <w:tcBorders/>
            <w:shd w:fill="CCEEFF" w:val="clear"/>
            <w:vAlign w:val="center"/>
          </w:tcPr>
          <w:p>
            <w:pPr>
              <w:pStyle w:val="TableContents"/>
              <w:bidi w:val="0"/>
              <w:spacing w:before="0" w:after="283"/>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Inventory in-transit</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3,879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1,265</w:t>
            </w:r>
          </w:p>
        </w:tc>
        <w:tc>
          <w:tcPr>
            <w:tcW w:w="60" w:type="dxa"/>
            <w:tcBorders/>
            <w:shd w:fill="FFFFFF" w:val="cle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inventory on-hand is held either with Amazon or the Company’s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warehouses.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contractual right of returns with its contract manufacturers. The Company’s inventory on-hand held by Amazon was approximately $4.0 million and $3.5 million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respectively.</w:t>
      </w:r>
    </w:p>
    <w:p>
      <w:pPr>
        <w:pStyle w:val="TextBody"/>
        <w:bidi w:val="0"/>
        <w:spacing w:before="0" w:after="0"/>
        <w:jc w:val="left"/>
        <w:rPr/>
      </w:pPr>
      <w:r>
        <w:rPr/>
        <w:t xml:space="preserve">  </w:t>
      </w:r>
    </w:p>
    <w:tbl>
      <w:tblPr>
        <w:tblW w:w="5050" w:type="dxa"/>
        <w:jc w:val="left"/>
        <w:tblInd w:w="0" w:type="dxa"/>
        <w:tblLayout w:type="fixed"/>
        <w:tblCellMar>
          <w:top w:w="0" w:type="dxa"/>
          <w:left w:w="0" w:type="dxa"/>
          <w:bottom w:w="0" w:type="dxa"/>
          <w:right w:w="0" w:type="dxa"/>
        </w:tblCellMar>
      </w:tblPr>
      <w:tblGrid>
        <w:gridCol w:w="170"/>
        <w:gridCol w:w="488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5.</w:t>
            </w:r>
          </w:p>
        </w:tc>
        <w:tc>
          <w:tcPr>
            <w:tcW w:w="48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PREPAID EXPENSES AND OTHER CURRENT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Prepaid and other current assets consisted of the following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5143" w:type="dxa"/>
        <w:jc w:val="left"/>
        <w:tblInd w:w="0" w:type="dxa"/>
        <w:tblLayout w:type="fixed"/>
        <w:tblCellMar>
          <w:top w:w="0" w:type="dxa"/>
          <w:left w:w="0" w:type="dxa"/>
          <w:bottom w:w="0" w:type="dxa"/>
          <w:right w:w="0" w:type="dxa"/>
        </w:tblCellMar>
      </w:tblPr>
      <w:tblGrid>
        <w:gridCol w:w="2105"/>
        <w:gridCol w:w="60"/>
        <w:gridCol w:w="243"/>
        <w:gridCol w:w="946"/>
        <w:gridCol w:w="60"/>
        <w:gridCol w:w="60"/>
        <w:gridCol w:w="329"/>
        <w:gridCol w:w="1280"/>
        <w:gridCol w:w="6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software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insurance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freight forwarder</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6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shd w:fill="FFFFFF" w:val="cle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6.</w:t>
            </w:r>
          </w:p>
        </w:tc>
        <w:tc>
          <w:tcPr>
            <w:tcW w:w="44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ACCRUED AND OTHER CURRENT LIABILITIES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Accrued and other current liabilities consisted of the following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both"/>
        <w:rPr>
          <w:caps w:val="false"/>
          <w:smallCaps w:val="false"/>
        </w:rPr>
      </w:pPr>
      <w:r>
        <w:rPr>
          <w:caps w:val="false"/>
          <w:smallCaps w:val="false"/>
        </w:rPr>
        <w:t> </w:t>
      </w:r>
    </w:p>
    <w:tbl>
      <w:tblPr>
        <w:tblW w:w="6448" w:type="dxa"/>
        <w:jc w:val="left"/>
        <w:tblInd w:w="0" w:type="dxa"/>
        <w:tblLayout w:type="fixed"/>
        <w:tblCellMar>
          <w:top w:w="0" w:type="dxa"/>
          <w:left w:w="0" w:type="dxa"/>
          <w:bottom w:w="0" w:type="dxa"/>
          <w:right w:w="0" w:type="dxa"/>
        </w:tblCellMar>
      </w:tblPr>
      <w:tblGrid>
        <w:gridCol w:w="3410"/>
        <w:gridCol w:w="60"/>
        <w:gridCol w:w="243"/>
        <w:gridCol w:w="946"/>
        <w:gridCol w:w="60"/>
        <w:gridCol w:w="60"/>
        <w:gridCol w:w="329"/>
        <w:gridCol w:w="1280"/>
        <w:gridCol w:w="60"/>
      </w:tblGrid>
      <w:tr>
        <w:trPr/>
        <w:tc>
          <w:tcPr>
            <w:tcW w:w="34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2,500</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 and consultants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logistics costs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related accruals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tax payable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989</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return reserve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fulfillment expense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499</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Accrued insurance premium financing</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305</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Federal payroll taxes payable</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1,063</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payable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 accruals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2,323</w:t>
            </w:r>
          </w:p>
        </w:tc>
        <w:tc>
          <w:tcPr>
            <w:tcW w:w="6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Accrued and current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sponsors, through its professional employer organization provider,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defined contribution plan covering all eligible US employees.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plan are discretionary. Currently,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match or make any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535" w:type="dxa"/>
        <w:jc w:val="left"/>
        <w:tblInd w:w="0" w:type="dxa"/>
        <w:tblLayout w:type="fixed"/>
        <w:tblCellMar>
          <w:top w:w="0" w:type="dxa"/>
          <w:left w:w="0" w:type="dxa"/>
          <w:bottom w:w="0" w:type="dxa"/>
          <w:right w:w="0" w:type="dxa"/>
        </w:tblCellMar>
      </w:tblPr>
      <w:tblGrid>
        <w:gridCol w:w="170"/>
        <w:gridCol w:w="33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7.</w:t>
            </w:r>
          </w:p>
        </w:tc>
        <w:tc>
          <w:tcPr>
            <w:tcW w:w="3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CREDIT FACILITY AND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MidCap Credit Facility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22, 2021, </w:t>
      </w:r>
      <w:r>
        <w:rPr>
          <w:rFonts w:ascii="Times New Roman" w:hAnsi="Times New Roman"/>
          <w:caps w:val="false"/>
          <w:smallCaps w:val="false"/>
          <w:sz w:val="20"/>
        </w:rPr>
        <w:t>the Company entered into a Credit and Security Agreement (the “Credit Agreement”) together with certain of its subsidiaries party thereto as borrowers, the entities party thereto as lenders, and Midcap Funding IV Trust, as administrative agent, pursuant to which, among other things, (i) the Lenders agreed to provide a three year revolving credit facility in a principal amount of up to $40.0 million subject to a borrowing base consisting of, among other things, inventory and sales receivables (subject to certain reserves), and (ii) the Company agreed to issue to MidCap Funding XXVII Trust a warrant (the “Midcap Warrant”) to purchase up to an aggregate of 16,667 shares of common stock of the Company, par value $0.0001 per share, in exchange for the Lenders extending loans and other extensions of credit to the Company under the Credit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obligations under the Credit Agreement are a senior secured obligation of the Company and rank senior to all indebtedness of the Company. Borrowings under the Credit Agreement bear interest at a rate of Term Secured Overnight Financing Rate ("Term SOFR"), which is defined as SOFR plus 0.10%, plus 5.50%. The Company will also be required to pay a commitment fee of 0.50% in respect of the undrawn portion of the commitments, which is generally based on average daily usage of the facility during the immediately preceding fiscal quarter. The Credit Agreement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 any amortization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Credit Agreement minimum liquidity covenant, which includes the Company’s unrestricted U.S. cash plus the revolving loan availability, requires that Midcap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permit the credit party liquidity at any time to be less than (a) during the period commencing on </w:t>
      </w:r>
      <w:r>
        <w:rPr>
          <w:rStyle w:val="Emphasis"/>
          <w:rFonts w:ascii="Times New Roman" w:hAnsi="Times New Roman"/>
          <w:caps w:val="false"/>
          <w:smallCaps w:val="false"/>
          <w:sz w:val="20"/>
        </w:rPr>
        <w:t>February 1st</w:t>
      </w:r>
      <w:r>
        <w:rPr>
          <w:rFonts w:ascii="Times New Roman" w:hAnsi="Times New Roman"/>
          <w:caps w:val="false"/>
          <w:smallCaps w:val="false"/>
          <w:sz w:val="20"/>
        </w:rPr>
        <w:t xml:space="preserve"> through and including </w:t>
      </w:r>
      <w:r>
        <w:rPr>
          <w:rStyle w:val="Emphasis"/>
          <w:rFonts w:ascii="Times New Roman" w:hAnsi="Times New Roman"/>
          <w:caps w:val="false"/>
          <w:smallCaps w:val="false"/>
          <w:sz w:val="20"/>
        </w:rPr>
        <w:t>May 31st</w:t>
      </w:r>
      <w:r>
        <w:rPr>
          <w:rFonts w:ascii="Times New Roman" w:hAnsi="Times New Roman"/>
          <w:caps w:val="false"/>
          <w:smallCaps w:val="false"/>
          <w:sz w:val="20"/>
        </w:rPr>
        <w:t xml:space="preserve"> of each calendar year, $12.5 million and (b) at all other times, $15.0 million. The Credit Agreement includes events of default that are customary for these types of credit facilities, including the occurrence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Midcap Warrant has an exercise price of $56.40 per share, subject to adjustment for stock splits, reverse stock splits, stock dividends and similar transactions, is immediately exercisable, has a term of ten years from the date of issuance and is exercisable on a cash or cashless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23, 2024, </w:t>
      </w:r>
      <w:r>
        <w:rPr>
          <w:rFonts w:ascii="Times New Roman" w:hAnsi="Times New Roman"/>
          <w:caps w:val="false"/>
          <w:smallCaps w:val="false"/>
          <w:sz w:val="20"/>
        </w:rPr>
        <w:t xml:space="preserve">the Company amended its asset backed credit facility with MidCap Financial Trust. The Credit Facility term was extended to </w:t>
      </w:r>
      <w:r>
        <w:rPr>
          <w:rStyle w:val="Emphasis"/>
          <w:rFonts w:ascii="Times New Roman" w:hAnsi="Times New Roman"/>
          <w:caps w:val="false"/>
          <w:smallCaps w:val="false"/>
          <w:sz w:val="20"/>
        </w:rPr>
        <w:t xml:space="preserve">December 2026 </w:t>
      </w:r>
      <w:r>
        <w:rPr>
          <w:rFonts w:ascii="Times New Roman" w:hAnsi="Times New Roman"/>
          <w:caps w:val="false"/>
          <w:smallCaps w:val="false"/>
          <w:sz w:val="20"/>
        </w:rPr>
        <w:t>and gives the Company access to $17 million in current commitments which can be increased, subject to certain conditions, to $30.0 million. The Credit Facility extension reduced the minimum liquidity financial covenant from a peak of $15.0 million to $6.8 million of U.S. cash on hand and/or availability in the Credit Facility. The extension fee was less than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the “Third Amendment Effective Date”) the Company entered into Amendment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(the “Amendment”) to that certain Credit and Security Agreement, dated as of </w:t>
      </w:r>
      <w:r>
        <w:rPr>
          <w:rStyle w:val="Emphasis"/>
          <w:rFonts w:ascii="Times New Roman" w:hAnsi="Times New Roman"/>
          <w:caps w:val="false"/>
          <w:smallCaps w:val="false"/>
          <w:sz w:val="20"/>
        </w:rPr>
        <w:t>December 22, 2021 (</w:t>
      </w:r>
      <w:r>
        <w:rPr>
          <w:rFonts w:ascii="Times New Roman" w:hAnsi="Times New Roman"/>
          <w:caps w:val="false"/>
          <w:smallCaps w:val="false"/>
          <w:sz w:val="20"/>
        </w:rPr>
        <w:t xml:space="preserve">as amended from time to time, the “Credit Agreement”) by and among the Company, certain of its subsidiaries thereto, the lenders thereto (the “Lenders”) and Midcap Funding IV Trust, as administrative agent. Capitalized terms used in this section and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otherwise defined shall have the meanings assigned in the Credit Agreement. Material changes contained in the Amendment include, among other things, adding repurchase of the Company’s common stock of up to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million per year, consisting of up to $1.5 million in repurchases allowed during the period from </w:t>
      </w:r>
      <w:r>
        <w:rPr>
          <w:rStyle w:val="Emphasis"/>
          <w:rFonts w:ascii="Times New Roman" w:hAnsi="Times New Roman"/>
          <w:caps w:val="false"/>
          <w:smallCaps w:val="false"/>
          <w:sz w:val="20"/>
        </w:rPr>
        <w:t xml:space="preserve">March 25, 2025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December 22, 2025, </w:t>
      </w:r>
      <w:r>
        <w:rPr>
          <w:rFonts w:ascii="Times New Roman" w:hAnsi="Times New Roman"/>
          <w:caps w:val="false"/>
          <w:smallCaps w:val="false"/>
          <w:sz w:val="20"/>
        </w:rPr>
        <w:t xml:space="preserve">and up to an additional $1.5 million allowed during the period from </w:t>
      </w:r>
      <w:r>
        <w:rPr>
          <w:rStyle w:val="Emphasis"/>
          <w:rFonts w:ascii="Times New Roman" w:hAnsi="Times New Roman"/>
          <w:caps w:val="false"/>
          <w:smallCaps w:val="false"/>
          <w:sz w:val="20"/>
        </w:rPr>
        <w:t xml:space="preserve">December 23, 2025 </w:t>
      </w:r>
      <w:r>
        <w:rPr>
          <w:rFonts w:ascii="Times New Roman" w:hAnsi="Times New Roman"/>
          <w:caps w:val="false"/>
          <w:smallCaps w:val="false"/>
          <w:sz w:val="20"/>
        </w:rPr>
        <w:t>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in compliance with the financial covenants contained within the Credit Agreement as of </w:t>
      </w:r>
      <w:r>
        <w:rPr>
          <w:rStyle w:val="Emphasis"/>
          <w:rFonts w:ascii="Times New Roman" w:hAnsi="Times New Roman"/>
          <w:caps w:val="false"/>
          <w:smallCaps w:val="false"/>
          <w:sz w:val="20"/>
        </w:rPr>
        <w:t>June 30, 2025.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through </w:t>
      </w:r>
      <w:r>
        <w:rPr>
          <w:rStyle w:val="Emphasis"/>
          <w:rFonts w:ascii="Times New Roman" w:hAnsi="Times New Roman"/>
          <w:caps w:val="false"/>
          <w:smallCaps w:val="false"/>
          <w:sz w:val="20"/>
        </w:rPr>
        <w:t xml:space="preserve">August 12, 2025, </w:t>
      </w:r>
      <w:r>
        <w:rPr>
          <w:rFonts w:ascii="Times New Roman" w:hAnsi="Times New Roman"/>
          <w:caps w:val="false"/>
          <w:smallCaps w:val="false"/>
          <w:sz w:val="20"/>
        </w:rPr>
        <w:t xml:space="preserve">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repurchase any shares under its authorized share repurchase program. On </w:t>
      </w:r>
      <w:r>
        <w:rPr>
          <w:rStyle w:val="Emphasis"/>
          <w:rFonts w:ascii="Times New Roman" w:hAnsi="Times New Roman"/>
          <w:caps w:val="false"/>
          <w:smallCaps w:val="false"/>
          <w:sz w:val="20"/>
        </w:rPr>
        <w:t xml:space="preserve">May 2, 2025, </w:t>
      </w:r>
      <w:r>
        <w:rPr>
          <w:rFonts w:ascii="Times New Roman" w:hAnsi="Times New Roman"/>
          <w:caps w:val="false"/>
          <w:smallCaps w:val="false"/>
          <w:sz w:val="20"/>
        </w:rPr>
        <w:t>the Company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credit facility consisted of the following as of </w:t>
      </w:r>
      <w:r>
        <w:rPr>
          <w:rStyle w:val="Emphasis"/>
          <w:rFonts w:ascii="Times New Roman" w:hAnsi="Times New Roman"/>
          <w:caps w:val="false"/>
          <w:smallCaps w:val="false"/>
          <w:sz w:val="20"/>
        </w:rPr>
        <w:t xml:space="preserve"> 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223" w:type="dxa"/>
        <w:jc w:val="left"/>
        <w:tblInd w:w="0" w:type="dxa"/>
        <w:tblLayout w:type="fixed"/>
        <w:tblCellMar>
          <w:top w:w="0" w:type="dxa"/>
          <w:left w:w="0" w:type="dxa"/>
          <w:bottom w:w="0" w:type="dxa"/>
          <w:right w:w="0" w:type="dxa"/>
        </w:tblCellMar>
      </w:tblPr>
      <w:tblGrid>
        <w:gridCol w:w="4145"/>
        <w:gridCol w:w="60"/>
        <w:gridCol w:w="243"/>
        <w:gridCol w:w="946"/>
        <w:gridCol w:w="80"/>
        <w:gridCol w:w="60"/>
        <w:gridCol w:w="329"/>
        <w:gridCol w:w="1280"/>
        <w:gridCol w:w="80"/>
      </w:tblGrid>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MidCap Credit Facility</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7,252</w:t>
            </w:r>
          </w:p>
        </w:tc>
        <w:tc>
          <w:tcPr>
            <w:tcW w:w="80" w:type="dxa"/>
            <w:tcBorders/>
            <w:shd w:fill="CCEEFF" w:val="clear"/>
            <w:vAlign w:val="center"/>
          </w:tcPr>
          <w:p>
            <w:pPr>
              <w:pStyle w:val="TableContents"/>
              <w:bidi w:val="0"/>
              <w:spacing w:before="0" w:after="283"/>
              <w:jc w:val="left"/>
              <w:rPr/>
            </w:pPr>
            <w:r>
              <w:rPr/>
              <w:t> </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deferred debt issuance costs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(192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discount associated with issuance of warrants</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1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MidCap Credit Facility</w:t>
            </w:r>
          </w:p>
        </w:tc>
        <w:tc>
          <w:tcPr>
            <w:tcW w:w="60" w:type="dxa"/>
            <w:tcBorders/>
            <w:shd w:fill="FFFF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6,948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Interest expense, net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7234" w:type="dxa"/>
        <w:jc w:val="left"/>
        <w:tblInd w:w="0" w:type="dxa"/>
        <w:tblLayout w:type="fixed"/>
        <w:tblCellMar>
          <w:top w:w="0" w:type="dxa"/>
          <w:left w:w="0" w:type="dxa"/>
          <w:bottom w:w="0" w:type="dxa"/>
          <w:right w:w="0" w:type="dxa"/>
        </w:tblCellMar>
      </w:tblPr>
      <w:tblGrid>
        <w:gridCol w:w="2150"/>
        <w:gridCol w:w="60"/>
        <w:gridCol w:w="295"/>
        <w:gridCol w:w="793"/>
        <w:gridCol w:w="189"/>
        <w:gridCol w:w="142"/>
        <w:gridCol w:w="295"/>
        <w:gridCol w:w="793"/>
        <w:gridCol w:w="80"/>
        <w:gridCol w:w="60"/>
        <w:gridCol w:w="256"/>
        <w:gridCol w:w="687"/>
        <w:gridCol w:w="164"/>
        <w:gridCol w:w="123"/>
        <w:gridCol w:w="256"/>
        <w:gridCol w:w="811"/>
        <w:gridCol w:w="80"/>
      </w:tblGrid>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9"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4"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ind w:left="0" w:right="0" w:hanging="0"/>
              <w:jc w:val="left"/>
              <w:rPr/>
            </w:pPr>
            <w:r>
              <w:rPr/>
              <w:t> </w:t>
            </w:r>
          </w:p>
        </w:tc>
        <w:tc>
          <w:tcPr>
            <w:tcW w:w="10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253</w:t>
            </w:r>
          </w:p>
        </w:tc>
        <w:tc>
          <w:tcPr>
            <w:tcW w:w="189"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689</w:t>
            </w:r>
          </w:p>
        </w:tc>
        <w:tc>
          <w:tcPr>
            <w:tcW w:w="80" w:type="dxa"/>
            <w:tcBorders/>
            <w:shd w:fill="CCEEFF" w:val="clear"/>
            <w:vAlign w:val="center"/>
          </w:tcPr>
          <w:p>
            <w:pPr>
              <w:pStyle w:val="TableContents"/>
              <w:bidi w:val="0"/>
              <w:spacing w:before="0" w:after="283"/>
              <w:jc w:val="left"/>
              <w:rPr/>
            </w:pPr>
            <w:r>
              <w:rPr/>
              <w:t> </w:t>
            </w:r>
          </w:p>
        </w:tc>
      </w:tr>
      <w:tr>
        <w:trPr/>
        <w:tc>
          <w:tcPr>
            <w:tcW w:w="21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2" w:type="dxa"/>
            <w:tcBorders/>
            <w:shd w:fill="FFFFFF" w:val="clear"/>
            <w:vAlign w:val="center"/>
          </w:tcPr>
          <w:p>
            <w:pPr>
              <w:pStyle w:val="TableContents"/>
              <w:bidi w:val="0"/>
              <w:spacing w:before="0" w:after="283"/>
              <w:ind w:left="0" w:right="0" w:hanging="0"/>
              <w:jc w:val="left"/>
              <w:rPr/>
            </w:pPr>
            <w:r>
              <w:rPr/>
              <w:t> </w:t>
            </w:r>
          </w:p>
        </w:tc>
        <w:tc>
          <w:tcPr>
            <w:tcW w:w="2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(77</w:t>
            </w:r>
          </w:p>
        </w:tc>
        <w:tc>
          <w:tcPr>
            <w:tcW w:w="1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 w:type="dxa"/>
            <w:tcBorders/>
            <w:shd w:fill="FFFFFF" w:val="clear"/>
            <w:vAlign w:val="center"/>
          </w:tcPr>
          <w:p>
            <w:pPr>
              <w:pStyle w:val="TableContents"/>
              <w:bidi w:val="0"/>
              <w:spacing w:before="0" w:after="283"/>
              <w:ind w:left="0" w:right="0" w:hanging="0"/>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1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9"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64"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500"/>
        <w:jc w:val="left"/>
        <w:rPr>
          <w:rFonts w:ascii="Times New Roman" w:hAnsi="Times New Roman"/>
          <w:b/>
          <w:i/>
          <w:caps w:val="false"/>
          <w:smallCaps w:val="false"/>
          <w:sz w:val="20"/>
        </w:rPr>
      </w:pPr>
      <w:r>
        <w:rPr>
          <w:rFonts w:ascii="Times New Roman" w:hAnsi="Times New Roman"/>
          <w:b/>
          <w:i/>
          <w:caps w:val="false"/>
          <w:smallCaps w:val="false"/>
          <w:sz w:val="20"/>
        </w:rPr>
        <w:t>Securities Purchase Agreement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the Company raised approximately $27.5 million through a private placement involving common stock and accompanying stock purchase warrants. The 590,637 common stock warrants issued in the transaction were classified as liabilities with subsequent remeasurement each quarter.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these warrants remain outstanding and are recorded as a $19 thousand liability on the Company’s condensed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205" w:type="dxa"/>
        <w:jc w:val="left"/>
        <w:tblInd w:w="0" w:type="dxa"/>
        <w:tblLayout w:type="fixed"/>
        <w:tblCellMar>
          <w:top w:w="0" w:type="dxa"/>
          <w:left w:w="0" w:type="dxa"/>
          <w:bottom w:w="0" w:type="dxa"/>
          <w:right w:w="0" w:type="dxa"/>
        </w:tblCellMar>
      </w:tblPr>
      <w:tblGrid>
        <w:gridCol w:w="170"/>
        <w:gridCol w:w="303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8.</w:t>
            </w:r>
          </w:p>
        </w:tc>
        <w:tc>
          <w:tcPr>
            <w:tcW w:w="30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2014</w:t>
      </w:r>
      <w:r>
        <w:rPr>
          <w:rFonts w:ascii="Times New Roman" w:hAnsi="Times New Roman"/>
          <w:b/>
          <w:caps w:val="false"/>
          <w:smallCaps w:val="false"/>
          <w:sz w:val="20"/>
        </w:rPr>
        <w:t xml:space="preserve"> Amended and Restated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of directors of Aterian Group, Inc., (the “Board”) a subsidiary of the Company (“AGI”), adopted, and AGI’s stockholders approved, the Aterian Group, Inc.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on </w:t>
      </w:r>
      <w:r>
        <w:rPr>
          <w:rStyle w:val="Emphasis"/>
          <w:rFonts w:ascii="Times New Roman" w:hAnsi="Times New Roman"/>
          <w:caps w:val="false"/>
          <w:smallCaps w:val="false"/>
          <w:sz w:val="20"/>
        </w:rPr>
        <w:t xml:space="preserve">June 11,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 2017, </w:t>
      </w:r>
      <w:r>
        <w:rPr>
          <w:rFonts w:ascii="Times New Roman" w:hAnsi="Times New Roman"/>
          <w:caps w:val="false"/>
          <w:smallCaps w:val="false"/>
          <w:sz w:val="20"/>
        </w:rPr>
        <w:t xml:space="preserve">AGI’s board of directors adopted, and AGI’s stockholders approved, an amendment and restatement of the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Equity Incentive Plan (as amended,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there were no shares reserved for future issuance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b/>
          <w:caps w:val="false"/>
          <w:smallCaps w:val="false"/>
          <w:sz w:val="20"/>
        </w:rPr>
        <w:t>2018</w:t>
      </w:r>
      <w:r>
        <w:rPr>
          <w:rFonts w:ascii="Times New Roman" w:hAnsi="Times New Roman"/>
          <w:b/>
          <w:caps w:val="false"/>
          <w:smallCaps w:val="false"/>
          <w:sz w:val="20"/>
        </w:rPr>
        <w:t xml:space="preserve">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Board adopted the Aterian, Inc.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on </w:t>
      </w:r>
      <w:r>
        <w:rPr>
          <w:rStyle w:val="Emphasis"/>
          <w:rFonts w:ascii="Times New Roman" w:hAnsi="Times New Roman"/>
          <w:caps w:val="false"/>
          <w:smallCaps w:val="false"/>
          <w:sz w:val="20"/>
        </w:rPr>
        <w:t xml:space="preserve">October 11, 2018.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was approved by its stockholders 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841,603 shares were reserved for awards available for future issuance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Options granted to date under the Aterian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either: (i) over a four-year period with 25%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75% of the shares vesting on a pro-rata basis over the succeeding </w:t>
      </w:r>
      <w:r>
        <w:rPr>
          <w:rStyle w:val="Emphasis"/>
          <w:rFonts w:ascii="Times New Roman" w:hAnsi="Times New Roman"/>
          <w:caps w:val="false"/>
          <w:smallCaps w:val="false"/>
          <w:sz w:val="20"/>
        </w:rPr>
        <w:t>thirty-six</w:t>
      </w:r>
      <w:r>
        <w:rPr>
          <w:rFonts w:ascii="Times New Roman" w:hAnsi="Times New Roman"/>
          <w:caps w:val="false"/>
          <w:smallCaps w:val="false"/>
          <w:sz w:val="20"/>
        </w:rPr>
        <w:t xml:space="preserve"> months, subject to continued service with the Company through each vesting date, or (ii) over a three-year period with 33 </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the shares underlying the options vesting on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anniversary of the vesting commencement date with the remaining 66 </w:t>
      </w:r>
      <w:r>
        <w:rPr>
          <w:rStyle w:val="Emphasis"/>
          <w:rFonts w:ascii="Times New Roman" w:hAnsi="Times New Roman"/>
          <w:caps w:val="false"/>
          <w:smallCaps w:val="false"/>
          <w:sz w:val="20"/>
        </w:rPr>
        <w:t>2/3%</w:t>
      </w:r>
      <w:r>
        <w:rPr>
          <w:rFonts w:ascii="Times New Roman" w:hAnsi="Times New Roman"/>
          <w:caps w:val="false"/>
          <w:smallCaps w:val="false"/>
          <w:sz w:val="20"/>
        </w:rPr>
        <w:t xml:space="preserve"> of the shares vesting on a pro-rata basis over the succeeding </w:t>
      </w:r>
      <w:r>
        <w:rPr>
          <w:rStyle w:val="Emphasis"/>
          <w:rFonts w:ascii="Times New Roman" w:hAnsi="Times New Roman"/>
          <w:caps w:val="false"/>
          <w:smallCaps w:val="false"/>
          <w:sz w:val="20"/>
        </w:rPr>
        <w:t>twenty-four</w:t>
      </w:r>
      <w:r>
        <w:rPr>
          <w:rFonts w:ascii="Times New Roman" w:hAnsi="Times New Roman"/>
          <w:caps w:val="false"/>
          <w:smallCaps w:val="false"/>
          <w:sz w:val="20"/>
        </w:rPr>
        <w:t xml:space="preserve"> months, subject to continued service with the Company through each vesting date. Options granted are generally exercisable for up to 10 years subject to continued service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27, 2022, </w:t>
      </w:r>
      <w:r>
        <w:rPr>
          <w:rFonts w:ascii="Times New Roman" w:hAnsi="Times New Roman"/>
          <w:caps w:val="false"/>
          <w:smallCaps w:val="false"/>
          <w:sz w:val="20"/>
        </w:rPr>
        <w:t xml:space="preserve">the Compensation Committee of the Board (the “Compensation Committee”) adopted the Aterian, Inc.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Inducement Equity Incentive Plan (the “Inducement Plan”). The Inducement Plan will serve to advance the interests of the Company by providing a material inducement for the best available individuals to join the Company as employees by affording such individuals an opportunity to acquire a proprietary interest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provides for the grant of equity-based awards in the form of stock options, stock appreciation rights, restricted stock, restricted stock units, performance units and performance shares solely to prospective employees of the Company or an affiliate of the Company provided that certain criteria are met. Awards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only be granted to an individual, as a material inducement to such individual to enter into employment with the Company or an affiliate of the Company, who (i)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been an employee or director of the Company or (ii) is rehired following a bona fide period of non-employment with the Company. The maximum number of shares available for grant under the Inducement Plan is 225,000 shares of the Company’s common stock (subject to adjustment for recapitalizations, stock splits, reorganizations and similar transactions). The Inducement Plan is administered by the Compensation Committee and expires ten years from the date of effectiveness. As of </w:t>
      </w:r>
      <w:r>
        <w:rPr>
          <w:rStyle w:val="Emphasis"/>
          <w:rFonts w:ascii="Times New Roman" w:hAnsi="Times New Roman"/>
          <w:caps w:val="false"/>
          <w:smallCaps w:val="false"/>
          <w:sz w:val="20"/>
        </w:rPr>
        <w:t>June 30, 2025, </w:t>
      </w:r>
      <w:r>
        <w:rPr>
          <w:rFonts w:ascii="Times New Roman" w:hAnsi="Times New Roman"/>
          <w:caps w:val="false"/>
          <w:smallCaps w:val="false"/>
          <w:sz w:val="20"/>
        </w:rPr>
        <w:t>193,476 shares were reserved for future issuance under the Inducement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Inducement Plan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approved by the Company’s stockholders. Awards under the Inducement Plan will be made pursuant to the exemption from Nasdaq stockholder approval requirements for equity compensation provided by Nasdaq Listing Rule </w:t>
      </w:r>
      <w:r>
        <w:rPr>
          <w:rStyle w:val="Emphasis"/>
          <w:rFonts w:ascii="Times New Roman" w:hAnsi="Times New Roman"/>
          <w:caps w:val="false"/>
          <w:smallCaps w:val="false"/>
          <w:sz w:val="20"/>
        </w:rPr>
        <w:t>5635</w:t>
      </w:r>
      <w:r>
        <w:rPr>
          <w:rFonts w:ascii="Times New Roman" w:hAnsi="Times New Roman"/>
          <w:caps w:val="false"/>
          <w:smallCaps w:val="false"/>
          <w:sz w:val="20"/>
        </w:rPr>
        <w:t>(c)(</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which permits Nasdaq listed companies to make inducement equity awards to new employees without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obtaining stockholder approval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is a summary of stock option activity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1"/>
        <w:gridCol w:w="60"/>
        <w:gridCol w:w="117"/>
        <w:gridCol w:w="1167"/>
        <w:gridCol w:w="60"/>
        <w:gridCol w:w="60"/>
        <w:gridCol w:w="382"/>
        <w:gridCol w:w="1822"/>
        <w:gridCol w:w="60"/>
        <w:gridCol w:w="60"/>
        <w:gridCol w:w="464"/>
        <w:gridCol w:w="2959"/>
        <w:gridCol w:w="63"/>
      </w:tblGrid>
      <w:tr>
        <w:trPr/>
        <w:tc>
          <w:tcPr>
            <w:tcW w:w="2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Options Outstanding</w:t>
            </w:r>
          </w:p>
        </w:tc>
        <w:tc>
          <w:tcPr>
            <w:tcW w:w="63" w:type="dxa"/>
            <w:tcBorders/>
            <w:shd w:fill="FFFFFF"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 Average Remaining Contractual Life (years)</w:t>
            </w:r>
          </w:p>
        </w:tc>
        <w:tc>
          <w:tcPr>
            <w:tcW w:w="63" w:type="dxa"/>
            <w:tcBorders/>
            <w:shd w:fill="FFFFFF" w:val="clear"/>
            <w:vAlign w:val="center"/>
          </w:tcPr>
          <w:p>
            <w:pPr>
              <w:pStyle w:val="TableContents"/>
              <w:bidi w:val="0"/>
              <w:spacing w:before="0" w:after="283"/>
              <w:jc w:val="left"/>
              <w:rPr/>
            </w:pPr>
            <w:r>
              <w:rPr/>
              <w:t> </w:t>
            </w:r>
          </w:p>
        </w:tc>
      </w:tr>
      <w:tr>
        <w:trPr/>
        <w:tc>
          <w:tcPr>
            <w:tcW w:w="29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Balance—January 1, 2025</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ind w:left="0" w:right="0" w:hanging="0"/>
              <w:jc w:val="left"/>
              <w:rPr/>
            </w:pPr>
            <w:r>
              <w:rPr/>
              <w:t> </w:t>
            </w:r>
          </w:p>
        </w:tc>
        <w:tc>
          <w:tcPr>
            <w:tcW w:w="29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w:t>
            </w:r>
          </w:p>
        </w:tc>
        <w:tc>
          <w:tcPr>
            <w:tcW w:w="63" w:type="dxa"/>
            <w:tcBorders/>
            <w:shd w:fill="CCEEFF"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16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ind w:left="0" w:right="0" w:hanging="0"/>
              <w:jc w:val="left"/>
              <w:rPr/>
            </w:pPr>
            <w:r>
              <w:rPr/>
              <w:t> </w:t>
            </w:r>
          </w:p>
        </w:tc>
        <w:tc>
          <w:tcPr>
            <w:tcW w:w="2959" w:type="dxa"/>
            <w:tcBorders/>
            <w:shd w:fill="FFFFFF" w:val="cle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r>
      <w:tr>
        <w:trPr/>
        <w:tc>
          <w:tcPr>
            <w:tcW w:w="293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116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ind w:left="0" w:right="0" w:hanging="0"/>
              <w:jc w:val="left"/>
              <w:rPr/>
            </w:pPr>
            <w:r>
              <w:rPr/>
              <w:t> </w:t>
            </w:r>
          </w:p>
        </w:tc>
        <w:tc>
          <w:tcPr>
            <w:tcW w:w="2959" w:type="dxa"/>
            <w:tcBorders/>
            <w:shd w:fill="CCEEFF" w:val="clear"/>
            <w:vAlign w:val="center"/>
          </w:tcPr>
          <w:p>
            <w:pPr>
              <w:pStyle w:val="TableContents"/>
              <w:bidi w:val="0"/>
              <w:spacing w:before="0" w:after="283"/>
              <w:ind w:left="0" w:right="0" w:hanging="0"/>
              <w:jc w:val="right"/>
              <w:rPr/>
            </w:pPr>
            <w:r>
              <w:rPr>
                <w:rStyle w:val="Emphasis"/>
              </w:rPr>
              <w:t>—</w:t>
            </w:r>
          </w:p>
        </w:tc>
        <w:tc>
          <w:tcPr>
            <w:tcW w:w="63" w:type="dxa"/>
            <w:tcBorders/>
            <w:shd w:fill="CCEEFF"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1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3" w:type="dxa"/>
            <w:tcBorders/>
            <w:shd w:fill="FFFFFF" w:val="clear"/>
            <w:vAlign w:val="center"/>
          </w:tcPr>
          <w:p>
            <w:pPr>
              <w:pStyle w:val="TableContents"/>
              <w:bidi w:val="0"/>
              <w:spacing w:before="0" w:after="283"/>
              <w:jc w:val="left"/>
              <w:rPr/>
            </w:pPr>
            <w:r>
              <w:rPr/>
              <w:t> </w:t>
            </w:r>
          </w:p>
        </w:tc>
      </w:tr>
      <w:tr>
        <w:trPr/>
        <w:tc>
          <w:tcPr>
            <w:tcW w:w="2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Balance—June 30, 2025</w:t>
            </w:r>
          </w:p>
        </w:tc>
        <w:tc>
          <w:tcPr>
            <w:tcW w:w="60" w:type="dxa"/>
            <w:tcBorders/>
            <w:shd w:fill="CCEEFF" w:val="clear"/>
            <w:vAlign w:val="center"/>
          </w:tcPr>
          <w:p>
            <w:pPr>
              <w:pStyle w:val="TableContents"/>
              <w:bidi w:val="0"/>
              <w:spacing w:before="0" w:after="283"/>
              <w:ind w:left="0" w:right="0" w:hanging="0"/>
              <w:jc w:val="left"/>
              <w:rPr/>
            </w:pPr>
            <w:r>
              <w:rPr/>
              <w:t> </w:t>
            </w:r>
          </w:p>
        </w:tc>
        <w:tc>
          <w:tcPr>
            <w:tcW w:w="1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7"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22"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59"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3.51</w:t>
            </w:r>
          </w:p>
        </w:tc>
        <w:tc>
          <w:tcPr>
            <w:tcW w:w="63" w:type="dxa"/>
            <w:tcBorders/>
            <w:shd w:fill="CCEEFF" w:val="clear"/>
            <w:vAlign w:val="center"/>
          </w:tcPr>
          <w:p>
            <w:pPr>
              <w:pStyle w:val="TableContents"/>
              <w:bidi w:val="0"/>
              <w:spacing w:before="0" w:after="283"/>
              <w:jc w:val="left"/>
              <w:rPr/>
            </w:pPr>
            <w:r>
              <w:rPr/>
              <w:t> </w:t>
            </w:r>
          </w:p>
        </w:tc>
      </w:tr>
      <w:tr>
        <w:trPr/>
        <w:tc>
          <w:tcPr>
            <w:tcW w:w="293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June 30, 2025</w:t>
            </w:r>
          </w:p>
        </w:tc>
        <w:tc>
          <w:tcPr>
            <w:tcW w:w="60"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295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w:t>
            </w:r>
          </w:p>
        </w:tc>
        <w:tc>
          <w:tcPr>
            <w:tcW w:w="63" w:type="dxa"/>
            <w:tcBorders/>
            <w:shd w:fill="FFFFFF" w:val="clear"/>
            <w:vAlign w:val="center"/>
          </w:tcPr>
          <w:p>
            <w:pPr>
              <w:pStyle w:val="TableContents"/>
              <w:bidi w:val="0"/>
              <w:spacing w:before="0" w:after="283"/>
              <w:jc w:val="left"/>
              <w:rPr/>
            </w:pPr>
            <w:r>
              <w:rPr/>
              <w:t> </w:t>
            </w:r>
          </w:p>
        </w:tc>
      </w:tr>
      <w:tr>
        <w:trPr/>
        <w:tc>
          <w:tcPr>
            <w:tcW w:w="29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June 30, 2025</w:t>
            </w:r>
          </w:p>
        </w:tc>
        <w:tc>
          <w:tcPr>
            <w:tcW w:w="6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13,051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2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295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all options have been fully expensed.</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 summary of restricted stock award activity within the Company’s equity plans and changes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is as follows:</w:t>
      </w:r>
    </w:p>
    <w:p>
      <w:pPr>
        <w:pStyle w:val="TextBody"/>
        <w:bidi w:val="0"/>
        <w:spacing w:before="0" w:after="0"/>
        <w:ind w:left="0" w:right="0" w:hanging="0"/>
        <w:jc w:val="left"/>
        <w:rPr>
          <w:caps w:val="false"/>
          <w:smallCaps w:val="false"/>
        </w:rPr>
      </w:pPr>
      <w:r>
        <w:rPr>
          <w:caps w:val="false"/>
          <w:smallCaps w:val="false"/>
        </w:rPr>
        <w:t> </w:t>
      </w:r>
    </w:p>
    <w:tbl>
      <w:tblPr>
        <w:tblW w:w="7114" w:type="dxa"/>
        <w:jc w:val="left"/>
        <w:tblInd w:w="0" w:type="dxa"/>
        <w:tblLayout w:type="fixed"/>
        <w:tblCellMar>
          <w:top w:w="0" w:type="dxa"/>
          <w:left w:w="0" w:type="dxa"/>
          <w:bottom w:w="28" w:type="dxa"/>
          <w:right w:w="0" w:type="dxa"/>
        </w:tblCellMar>
      </w:tblPr>
      <w:tblGrid>
        <w:gridCol w:w="2420"/>
        <w:gridCol w:w="60"/>
        <w:gridCol w:w="60"/>
        <w:gridCol w:w="845"/>
        <w:gridCol w:w="80"/>
        <w:gridCol w:w="60"/>
        <w:gridCol w:w="870"/>
        <w:gridCol w:w="2659"/>
        <w:gridCol w:w="60"/>
      </w:tblGrid>
      <w:tr>
        <w:trPr/>
        <w:tc>
          <w:tcPr>
            <w:tcW w:w="2420" w:type="dxa"/>
            <w:tcBorders>
              <w:bottom w:val="single" w:sz="2" w:space="0" w:color="000000"/>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Awards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529" w:type="dxa"/>
            <w:gridSpan w:val="2"/>
            <w:tcBorders>
              <w:bottom w:val="single" w:sz="2" w:space="0" w:color="000000"/>
            </w:tcBorders>
            <w:shd w:fill="FFFFFF" w:val="clear"/>
            <w:vAlign w:val="center"/>
          </w:tcPr>
          <w:p>
            <w:pPr>
              <w:pStyle w:val="TableContents"/>
              <w:bidi w:val="0"/>
              <w:spacing w:before="0" w:after="283"/>
              <w:jc w:val="center"/>
              <w:rPr/>
            </w:pPr>
            <w:r>
              <w:rPr>
                <w:rStyle w:val="Emphasis"/>
                <w:rFonts w:ascii="Times New Roman" w:hAnsi="Times New Roman"/>
                <w:b/>
                <w:sz w:val="20"/>
              </w:rPr>
              <w:t>Weighted Average Grant- Date Fair Value</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at January 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1,310,989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shd w:fill="CCEEFF" w:val="clear"/>
            <w:tcMar>
              <w:bottom w:w="0"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59" w:type="dxa"/>
            <w:tcBorders/>
            <w:shd w:fill="CCEEFF" w:val="clear"/>
            <w:tcMar>
              <w:bottom w:w="0"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1,384,551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59" w:type="dxa"/>
            <w:tcBorders/>
            <w:shd w:fill="FFFF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1.46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(717,890</w:t>
            </w:r>
          </w:p>
        </w:tc>
        <w:tc>
          <w:tcPr>
            <w:tcW w:w="8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0" w:type="dxa"/>
            <w:tcBorders/>
            <w:shd w:fill="CCEE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2659" w:type="dxa"/>
            <w:tcBorders/>
            <w:shd w:fill="CCEEFF" w:val="clear"/>
            <w:tcMar>
              <w:bottom w:w="0"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2.86</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(121,533</w:t>
            </w:r>
          </w:p>
        </w:tc>
        <w:tc>
          <w:tcPr>
            <w:tcW w:w="80" w:type="dxa"/>
            <w:tcBorders/>
            <w:shd w:fill="FFFFFF" w:val="clear"/>
            <w:tcMar>
              <w:bottom w:w="0"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59" w:type="dxa"/>
            <w:tcBorders>
              <w:bottom w:val="single" w:sz="2" w:space="0" w:color="000000"/>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3.10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at June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1,856,117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59" w:type="dxa"/>
            <w:tcBorders>
              <w:bottom w:val="double" w:sz="6" w:space="0" w:color="000000"/>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total unrecognized compensation expense related to unvested shares of restricted common stock was $3.2 million, which the Company expects to recognize over an estimated weighted-average period of 1.85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Stock-based compensation expense is allocated based on the cost center to which the award holder belongs. The following table summarizes the total stock-based compensation expense by function, including expense related to consultants,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 </w:t>
      </w:r>
      <w:r>
        <w:rPr>
          <w:rFonts w:ascii="Times New Roman" w:hAnsi="Times New Roman"/>
          <w:caps w:val="false"/>
          <w:smallCaps w:val="false"/>
          <w:sz w:val="20"/>
        </w:rPr>
        <w:t>and </w:t>
      </w:r>
      <w:r>
        <w:rPr>
          <w:rStyle w:val="Emphasis"/>
          <w:rFonts w:ascii="Times New Roman" w:hAnsi="Times New Roman"/>
          <w:caps w:val="false"/>
          <w:smallCaps w:val="false"/>
          <w:sz w:val="20"/>
        </w:rPr>
        <w:t>2024</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8393" w:type="dxa"/>
        <w:jc w:val="left"/>
        <w:tblInd w:w="0" w:type="dxa"/>
        <w:tblLayout w:type="fixed"/>
        <w:tblCellMar>
          <w:top w:w="0" w:type="dxa"/>
          <w:left w:w="0" w:type="dxa"/>
          <w:bottom w:w="0" w:type="dxa"/>
          <w:right w:w="0" w:type="dxa"/>
        </w:tblCellMar>
      </w:tblPr>
      <w:tblGrid>
        <w:gridCol w:w="3350"/>
        <w:gridCol w:w="60"/>
        <w:gridCol w:w="259"/>
        <w:gridCol w:w="694"/>
        <w:gridCol w:w="165"/>
        <w:gridCol w:w="124"/>
        <w:gridCol w:w="259"/>
        <w:gridCol w:w="1006"/>
        <w:gridCol w:w="60"/>
        <w:gridCol w:w="60"/>
        <w:gridCol w:w="241"/>
        <w:gridCol w:w="647"/>
        <w:gridCol w:w="115"/>
        <w:gridCol w:w="115"/>
        <w:gridCol w:w="241"/>
        <w:gridCol w:w="937"/>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65"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7"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distribution expenses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1,245</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4"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w:t>
            </w:r>
          </w:p>
        </w:tc>
        <w:tc>
          <w:tcPr>
            <w:tcW w:w="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4" w:type="dxa"/>
            <w:tcBorders/>
            <w:shd w:fill="FFFFFF" w:val="clear"/>
            <w:vAlign w:val="center"/>
          </w:tcPr>
          <w:p>
            <w:pPr>
              <w:pStyle w:val="TableContents"/>
              <w:bidi w:val="0"/>
              <w:spacing w:before="0" w:after="283"/>
              <w:ind w:left="0" w:right="0" w:hanging="0"/>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588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65"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320" w:type="dxa"/>
        <w:jc w:val="left"/>
        <w:tblInd w:w="0" w:type="dxa"/>
        <w:tblLayout w:type="fixed"/>
        <w:tblCellMar>
          <w:top w:w="0" w:type="dxa"/>
          <w:left w:w="0" w:type="dxa"/>
          <w:bottom w:w="0" w:type="dxa"/>
          <w:right w:w="0" w:type="dxa"/>
        </w:tblCellMar>
      </w:tblPr>
      <w:tblGrid>
        <w:gridCol w:w="170"/>
        <w:gridCol w:w="215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p>
        </w:tc>
        <w:tc>
          <w:tcPr>
            <w:tcW w:w="21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NET LOSS PER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loss per share is determined by dividing net loss by the weighted-average shares of common stock outstanding during the period. Diluted net loss per share is determined by dividing net loss by diluted weighted-average shares outstanding. Diluted weighted-average shares reflect the dilutive effect, if any, of potentially dilutive shares of common stock, such as options to purchase common stock calculated using the treasury stock method and convertible notes using the “if-converted” method. In periods with reported net operating losses, all options to purchase common stock are deemed anti-dilutive such that basic net loss per share and diluted net loss per share are equal.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shares of restricted common stock are entitled to receive dividends and hold voting rights applicable to the Company’s common stock, irrespective of any vesting requirement. Accordingly, although the vesting commences upon the elimination of the contingency, the shares of restricted common stock are considered a participating security and the Company is required to apply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to consider the impact of the shares of restricted common stock on the calculation of basic and diluted earnings per share. The Company is currently in a net loss position and is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required to present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however, in the event the Company is in a net income position,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must be applied by allocating all earnings during the period to shares of common stock and shares of restricted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computation of basic and diluted net loss per share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44"/>
        <w:gridCol w:w="60"/>
        <w:gridCol w:w="141"/>
        <w:gridCol w:w="958"/>
        <w:gridCol w:w="90"/>
        <w:gridCol w:w="67"/>
        <w:gridCol w:w="141"/>
        <w:gridCol w:w="958"/>
        <w:gridCol w:w="80"/>
        <w:gridCol w:w="60"/>
        <w:gridCol w:w="133"/>
        <w:gridCol w:w="903"/>
        <w:gridCol w:w="85"/>
        <w:gridCol w:w="63"/>
        <w:gridCol w:w="133"/>
        <w:gridCol w:w="903"/>
        <w:gridCol w:w="86"/>
      </w:tblGrid>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 June 30,</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0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7,674,910</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6,973,218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7,564,523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6,881,648</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Anti-dilutive shares excluded from computation of net loss per share (in shares)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1,905,778</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2,350,812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1,920,558</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2,047,993</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10.</w:t>
            </w:r>
          </w:p>
        </w:tc>
        <w:tc>
          <w:tcPr>
            <w:tcW w:w="3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Sales or Other Similar Taxes</w:t>
      </w:r>
      <w:r>
        <w:rPr>
          <w:rFonts w:ascii="Times New Roman" w:hAnsi="Times New Roman"/>
          <w:caps w:val="false"/>
          <w:smallCaps w:val="false"/>
          <w:sz w:val="20"/>
        </w:rPr>
        <w:t xml:space="preserve">—Based on the location of the Company’s current operations, the majority of sales tax is collected and remitted either by the Company or on its behalf by e-commerce marketplaces in most states within the U.S. To date, the Company has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actual or threatened sales and use tax claims from any state where it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already claim nexus or any state where it sold products prior to claiming nexus. However, the Company believes that the likelihood of incurring a liability as a result of sales tax nexus being asserted by certain states where it sold products prior to claiming nexus is probable.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2024, </w:t>
      </w:r>
      <w:r>
        <w:rPr>
          <w:rFonts w:ascii="Times New Roman" w:hAnsi="Times New Roman"/>
          <w:caps w:val="false"/>
          <w:smallCaps w:val="false"/>
          <w:sz w:val="20"/>
        </w:rPr>
        <w:t>the Company estimates that the potential liability, including current sales tax payable is approximately $0.7 million and $1.0 million, which has been recorded in accrued and other current liabilities on the Condensed Consolidated Balance Sheets. The Company believes this is the best estimate of an amount due to taxing agencies, given that such a potential loss is an unasserted liability that would be contested and subject to negotiation between the Company and the state, or decided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Legal Proceedings</w:t>
      </w:r>
      <w:r>
        <w:rPr>
          <w:rFonts w:ascii="Times New Roman" w:hAnsi="Times New Roman"/>
          <w:caps w:val="false"/>
          <w:smallCaps w:val="false"/>
          <w:sz w:val="20"/>
        </w:rPr>
        <w:t xml:space="preserve">—From time to time, the Company is party to various actions and claims arising in the normal course of business.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believe that the final outcome of these matters will have a material adverse effect on the Company’s financial position or results of operations. In addition, the Company maintains what it believes is adequate insurance coverage to further mitigate risk. However,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final outcome of such proceedings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impact the Company’s financial condition or results of operations. Further,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can be given that the amount or scope of existing insurance coverage will be sufficient to cover losses arising from such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90" w:type="dxa"/>
        <w:jc w:val="left"/>
        <w:tblInd w:w="0" w:type="dxa"/>
        <w:tblLayout w:type="fixed"/>
        <w:tblCellMar>
          <w:top w:w="0" w:type="dxa"/>
          <w:left w:w="0" w:type="dxa"/>
          <w:bottom w:w="0" w:type="dxa"/>
          <w:right w:w="0" w:type="dxa"/>
        </w:tblCellMar>
      </w:tblPr>
      <w:tblGrid>
        <w:gridCol w:w="275"/>
        <w:gridCol w:w="141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11.</w:t>
            </w:r>
          </w:p>
        </w:tc>
        <w:tc>
          <w:tcPr>
            <w:tcW w:w="14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INTANGIBLES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the changes in the Company’s intangible assets 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4"/>
        <w:gridCol w:w="60"/>
        <w:gridCol w:w="316"/>
        <w:gridCol w:w="1452"/>
        <w:gridCol w:w="60"/>
        <w:gridCol w:w="60"/>
        <w:gridCol w:w="807"/>
        <w:gridCol w:w="1613"/>
        <w:gridCol w:w="60"/>
        <w:gridCol w:w="60"/>
        <w:gridCol w:w="331"/>
        <w:gridCol w:w="1720"/>
        <w:gridCol w:w="80"/>
        <w:gridCol w:w="60"/>
        <w:gridCol w:w="246"/>
        <w:gridCol w:w="962"/>
        <w:gridCol w:w="64"/>
      </w:tblGrid>
      <w:tr>
        <w:trPr/>
        <w:tc>
          <w:tcPr>
            <w:tcW w:w="2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 2025</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2025</w:t>
            </w:r>
          </w:p>
        </w:tc>
        <w:tc>
          <w:tcPr>
            <w:tcW w:w="64" w:type="dxa"/>
            <w:tcBorders/>
            <w:shd w:fill="FFFFFF"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Gross Carrying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Net Book Value</w:t>
            </w:r>
          </w:p>
        </w:tc>
        <w:tc>
          <w:tcPr>
            <w:tcW w:w="64" w:type="dxa"/>
            <w:tcBorders/>
            <w:shd w:fill="FFFFFF" w:val="clear"/>
            <w:vAlign w:val="center"/>
          </w:tcPr>
          <w:p>
            <w:pPr>
              <w:pStyle w:val="TableContents"/>
              <w:bidi w:val="0"/>
              <w:spacing w:before="0" w:after="283"/>
              <w:jc w:val="left"/>
              <w:rPr/>
            </w:pPr>
            <w:r>
              <w:rPr/>
              <w:t> </w:t>
            </w:r>
          </w:p>
        </w:tc>
      </w:tr>
      <w:tr>
        <w:trPr/>
        <w:tc>
          <w:tcPr>
            <w:tcW w:w="225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31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5,628</w:t>
            </w:r>
          </w:p>
        </w:tc>
        <w:tc>
          <w:tcPr>
            <w:tcW w:w="64" w:type="dxa"/>
            <w:tcBorders/>
            <w:shd w:fill="CCEEFF"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ind w:left="0" w:right="0" w:hanging="0"/>
              <w:jc w:val="left"/>
              <w:rPr/>
            </w:pPr>
            <w:r>
              <w:rPr/>
              <w:t> </w:t>
            </w:r>
          </w:p>
        </w:tc>
        <w:tc>
          <w:tcPr>
            <w:tcW w:w="14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ind w:left="0" w:right="0" w:hanging="0"/>
              <w:jc w:val="left"/>
              <w:rPr/>
            </w:pPr>
            <w:r>
              <w:rPr/>
              <w:t> </w:t>
            </w:r>
          </w:p>
        </w:tc>
        <w:tc>
          <w:tcPr>
            <w:tcW w:w="1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25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ind w:left="0" w:right="0" w:hanging="0"/>
              <w:jc w:val="left"/>
              <w:rPr/>
            </w:pPr>
            <w:r>
              <w:rPr/>
              <w:t> </w:t>
            </w:r>
          </w:p>
        </w:tc>
        <w:tc>
          <w:tcPr>
            <w:tcW w:w="14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ind w:left="0" w:right="0" w:hanging="0"/>
              <w:jc w:val="left"/>
              <w:rPr/>
            </w:pPr>
            <w:r>
              <w:rPr/>
              <w:t> </w:t>
            </w:r>
          </w:p>
        </w:tc>
        <w:tc>
          <w:tcPr>
            <w:tcW w:w="161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ind w:left="0" w:right="0" w:hanging="0"/>
              <w:jc w:val="left"/>
              <w:rPr/>
            </w:pPr>
            <w:r>
              <w:rPr/>
              <w:t> </w:t>
            </w:r>
          </w:p>
        </w:tc>
        <w:tc>
          <w:tcPr>
            <w:tcW w:w="17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ind w:left="0" w:right="0" w:hanging="0"/>
              <w:jc w:val="left"/>
              <w:rPr/>
            </w:pPr>
            <w:r>
              <w:rPr/>
              <w:t> </w:t>
            </w:r>
          </w:p>
        </w:tc>
        <w:tc>
          <w:tcPr>
            <w:tcW w:w="14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7" w:type="dxa"/>
            <w:tcBorders/>
            <w:shd w:fill="FFFFFF" w:val="clear"/>
            <w:vAlign w:val="center"/>
          </w:tcPr>
          <w:p>
            <w:pPr>
              <w:pStyle w:val="TableContents"/>
              <w:bidi w:val="0"/>
              <w:spacing w:before="0" w:after="283"/>
              <w:ind w:left="0" w:right="0" w:hanging="0"/>
              <w:jc w:val="left"/>
              <w:rPr/>
            </w:pPr>
            <w:r>
              <w:rPr/>
              <w:t> </w:t>
            </w:r>
          </w:p>
        </w:tc>
        <w:tc>
          <w:tcPr>
            <w:tcW w:w="161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172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3,325</w:t>
            </w:r>
          </w:p>
        </w:tc>
        <w:tc>
          <w:tcPr>
            <w:tcW w:w="64" w:type="dxa"/>
            <w:tcBorders/>
            <w:shd w:fill="FFFFFF" w:val="clear"/>
            <w:vAlign w:val="center"/>
          </w:tcPr>
          <w:p>
            <w:pPr>
              <w:pStyle w:val="TableContents"/>
              <w:bidi w:val="0"/>
              <w:spacing w:before="0" w:after="283"/>
              <w:jc w:val="left"/>
              <w:rPr/>
            </w:pPr>
            <w:r>
              <w:rPr/>
              <w:t> </w:t>
            </w:r>
          </w:p>
        </w:tc>
      </w:tr>
      <w:tr>
        <w:trPr/>
        <w:tc>
          <w:tcPr>
            <w:tcW w:w="22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Software</w:t>
            </w:r>
          </w:p>
        </w:tc>
        <w:tc>
          <w:tcPr>
            <w:tcW w:w="6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14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1" w:type="dxa"/>
            <w:tcBorders/>
            <w:shd w:fill="CCEEFF" w:val="clear"/>
            <w:vAlign w:val="center"/>
          </w:tcPr>
          <w:p>
            <w:pPr>
              <w:pStyle w:val="TableContents"/>
              <w:bidi w:val="0"/>
              <w:spacing w:before="0" w:after="283"/>
              <w:jc w:val="left"/>
              <w:rPr/>
            </w:pPr>
            <w:r>
              <w:rPr/>
              <w:t> </w:t>
            </w:r>
          </w:p>
        </w:tc>
        <w:tc>
          <w:tcPr>
            <w:tcW w:w="172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22</w:t>
            </w:r>
          </w:p>
        </w:tc>
        <w:tc>
          <w:tcPr>
            <w:tcW w:w="64" w:type="dxa"/>
            <w:tcBorders/>
            <w:shd w:fill="CCEEFF" w:val="clear"/>
            <w:vAlign w:val="center"/>
          </w:tcPr>
          <w:p>
            <w:pPr>
              <w:pStyle w:val="TableContents"/>
              <w:bidi w:val="0"/>
              <w:spacing w:before="0" w:after="283"/>
              <w:jc w:val="left"/>
              <w:rPr/>
            </w:pPr>
            <w:r>
              <w:rPr/>
              <w:t> </w:t>
            </w:r>
          </w:p>
        </w:tc>
      </w:tr>
      <w:tr>
        <w:trPr/>
        <w:tc>
          <w:tcPr>
            <w:tcW w:w="2254"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3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254"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3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4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61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7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8,975</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80"/>
        <w:gridCol w:w="60"/>
        <w:gridCol w:w="321"/>
        <w:gridCol w:w="1438"/>
        <w:gridCol w:w="60"/>
        <w:gridCol w:w="60"/>
        <w:gridCol w:w="741"/>
        <w:gridCol w:w="1547"/>
        <w:gridCol w:w="60"/>
        <w:gridCol w:w="60"/>
        <w:gridCol w:w="345"/>
        <w:gridCol w:w="1681"/>
        <w:gridCol w:w="80"/>
        <w:gridCol w:w="60"/>
        <w:gridCol w:w="296"/>
        <w:gridCol w:w="1152"/>
        <w:gridCol w:w="64"/>
      </w:tblGrid>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Year-Ended December 31, 2024</w:t>
            </w:r>
          </w:p>
        </w:tc>
        <w:tc>
          <w:tcPr>
            <w:tcW w:w="120" w:type="dxa"/>
            <w:gridSpan w:val="2"/>
            <w:tcBorders/>
            <w:vAlign w:val="center"/>
          </w:tcPr>
          <w:p>
            <w:pPr>
              <w:pStyle w:val="TableContents"/>
              <w:bidi w:val="0"/>
              <w:spacing w:before="0" w:after="283"/>
              <w:ind w:left="0" w:right="0" w:hanging="0"/>
              <w:jc w:val="center"/>
              <w:rPr/>
            </w:pPr>
            <w:r>
              <w:rPr/>
              <w:t> </w:t>
            </w:r>
          </w:p>
        </w:tc>
        <w:tc>
          <w:tcPr>
            <w:tcW w:w="202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2024</w:t>
            </w:r>
          </w:p>
        </w:tc>
        <w:tc>
          <w:tcPr>
            <w:tcW w:w="64"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Book Value</w:t>
            </w:r>
          </w:p>
        </w:tc>
        <w:tc>
          <w:tcPr>
            <w:tcW w:w="64"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6,119</w:t>
            </w:r>
          </w:p>
        </w:tc>
        <w:tc>
          <w:tcPr>
            <w:tcW w:w="64"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Non-competition agreement</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ind w:left="0" w:right="0" w:hanging="0"/>
              <w:jc w:val="left"/>
              <w:rPr/>
            </w:pPr>
            <w:r>
              <w:rPr/>
              <w:t> </w:t>
            </w:r>
          </w:p>
        </w:tc>
        <w:tc>
          <w:tcPr>
            <w:tcW w:w="15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Transition services agreement</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4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ind w:left="0" w:right="0" w:hanging="0"/>
              <w:jc w:val="left"/>
              <w:rPr/>
            </w:pPr>
            <w:r>
              <w:rPr/>
              <w:t> </w:t>
            </w:r>
          </w:p>
        </w:tc>
        <w:tc>
          <w:tcPr>
            <w:tcW w:w="154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ind w:left="0" w:right="0" w:hanging="0"/>
              <w:jc w:val="left"/>
              <w:rPr/>
            </w:pPr>
            <w:r>
              <w:rPr/>
              <w:t> </w:t>
            </w:r>
          </w:p>
        </w:tc>
        <w:tc>
          <w:tcPr>
            <w:tcW w:w="14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ind w:left="0" w:right="0" w:hanging="0"/>
              <w:jc w:val="left"/>
              <w:rPr/>
            </w:pPr>
            <w:r>
              <w:rPr/>
              <w:t> </w:t>
            </w:r>
          </w:p>
        </w:tc>
        <w:tc>
          <w:tcPr>
            <w:tcW w:w="154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ind w:left="0" w:right="0" w:hanging="0"/>
              <w:jc w:val="left"/>
              <w:rPr/>
            </w:pPr>
            <w:r>
              <w:rPr/>
              <w:t> </w:t>
            </w:r>
          </w:p>
        </w:tc>
        <w:tc>
          <w:tcPr>
            <w:tcW w:w="16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w:t>
            </w:r>
          </w:p>
        </w:tc>
        <w:tc>
          <w:tcPr>
            <w:tcW w:w="64"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Software</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ind w:left="0" w:right="0" w:hanging="0"/>
              <w:jc w:val="left"/>
              <w:rPr/>
            </w:pPr>
            <w:r>
              <w:rPr/>
              <w:t> </w:t>
            </w:r>
          </w:p>
        </w:tc>
        <w:tc>
          <w:tcPr>
            <w:tcW w:w="14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ind w:left="0" w:right="0" w:hanging="0"/>
              <w:jc w:val="left"/>
              <w:rPr/>
            </w:pPr>
            <w:r>
              <w:rPr/>
              <w:t> </w:t>
            </w:r>
          </w:p>
        </w:tc>
        <w:tc>
          <w:tcPr>
            <w:tcW w:w="15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ind w:left="0" w:right="0" w:hanging="0"/>
              <w:jc w:val="left"/>
              <w:rPr/>
            </w:pPr>
            <w:r>
              <w:rPr/>
              <w:t> </w:t>
            </w:r>
          </w:p>
        </w:tc>
        <w:tc>
          <w:tcPr>
            <w:tcW w:w="16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4" w:type="dxa"/>
            <w:tcBorders/>
            <w:shd w:fill="CCEEFF" w:val="clear"/>
            <w:vAlign w:val="center"/>
          </w:tcPr>
          <w:p>
            <w:pPr>
              <w:pStyle w:val="TableContents"/>
              <w:bidi w:val="0"/>
              <w:spacing w:before="0" w:after="283"/>
              <w:jc w:val="left"/>
              <w:rPr/>
            </w:pPr>
            <w:r>
              <w:rPr/>
              <w:t> </w:t>
            </w:r>
          </w:p>
        </w:tc>
      </w:tr>
      <w:tr>
        <w:trPr/>
        <w:tc>
          <w:tcPr>
            <w:tcW w:w="21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intangibles</w:t>
            </w:r>
          </w:p>
        </w:tc>
        <w:tc>
          <w:tcPr>
            <w:tcW w:w="60" w:type="dxa"/>
            <w:tcBorders/>
            <w:shd w:fill="CCEEFF" w:val="clear"/>
            <w:vAlign w:val="center"/>
          </w:tcPr>
          <w:p>
            <w:pPr>
              <w:pStyle w:val="TableContents"/>
              <w:bidi w:val="0"/>
              <w:spacing w:before="0" w:after="283"/>
              <w:ind w:left="0" w:right="0" w:hanging="0"/>
              <w:jc w:val="left"/>
              <w:rPr/>
            </w:pPr>
            <w:r>
              <w:rPr/>
              <w:t> </w:t>
            </w:r>
          </w:p>
        </w:tc>
        <w:tc>
          <w:tcPr>
            <w:tcW w:w="3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caps w:val="false"/>
          <w:smallCaps w:val="false"/>
        </w:rPr>
        <w:t xml:space="preserve">  </w:t>
      </w:r>
      <w:r>
        <w:rPr>
          <w:rFonts w:ascii="Times New Roman" w:hAnsi="Times New Roman"/>
          <w:caps w:val="false"/>
          <w:smallCaps w:val="false"/>
          <w:sz w:val="20"/>
        </w:rPr>
        <w:t xml:space="preserve">The following table sets forth the estimated aggregate amortization of the Company’s intangible assets for the next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years and thereafter (amounts in thousands):</w:t>
      </w:r>
    </w:p>
    <w:p>
      <w:pPr>
        <w:pStyle w:val="TextBody"/>
        <w:bidi w:val="0"/>
        <w:spacing w:before="0" w:after="0"/>
        <w:ind w:left="0" w:right="0" w:hanging="0"/>
        <w:jc w:val="left"/>
        <w:rPr>
          <w:caps w:val="false"/>
          <w:smallCaps w:val="false"/>
        </w:rPr>
      </w:pPr>
      <w:r>
        <w:rPr>
          <w:caps w:val="false"/>
          <w:smallCaps w:val="false"/>
        </w:rPr>
        <w:t> </w:t>
      </w:r>
    </w:p>
    <w:tbl>
      <w:tblPr>
        <w:tblW w:w="2310" w:type="dxa"/>
        <w:jc w:val="left"/>
        <w:tblInd w:w="0" w:type="dxa"/>
        <w:tblLayout w:type="fixed"/>
        <w:tblCellMar>
          <w:top w:w="0" w:type="dxa"/>
          <w:left w:w="0" w:type="dxa"/>
          <w:bottom w:w="0" w:type="dxa"/>
          <w:right w:w="0" w:type="dxa"/>
        </w:tblCellMar>
      </w:tblPr>
      <w:tblGrid>
        <w:gridCol w:w="1580"/>
        <w:gridCol w:w="60"/>
        <w:gridCol w:w="125"/>
        <w:gridCol w:w="485"/>
        <w:gridCol w:w="60"/>
      </w:tblGrid>
      <w:tr>
        <w:trPr/>
        <w:tc>
          <w:tcPr>
            <w:tcW w:w="1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Remainder of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782</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1,564</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1,551</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1,551</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1,529</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Thereafter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444</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8,975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020" w:type="dxa"/>
        <w:jc w:val="left"/>
        <w:tblInd w:w="0" w:type="dxa"/>
        <w:tblLayout w:type="fixed"/>
        <w:tblCellMar>
          <w:top w:w="0" w:type="dxa"/>
          <w:left w:w="0" w:type="dxa"/>
          <w:bottom w:w="0" w:type="dxa"/>
          <w:right w:w="0" w:type="dxa"/>
        </w:tblCellMar>
      </w:tblPr>
      <w:tblGrid>
        <w:gridCol w:w="320"/>
        <w:gridCol w:w="170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r>
              <w:rPr>
                <w:rFonts w:ascii="Times New Roman;Times;serif" w:hAnsi="Times New Roman;Times;serif"/>
                <w:b/>
                <w:sz w:val="20"/>
              </w:rPr>
              <w:t xml:space="preserve"> </w:t>
            </w:r>
          </w:p>
        </w:tc>
        <w:tc>
          <w:tcPr>
            <w:tcW w:w="17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14, 2025, </w:t>
      </w:r>
      <w:r>
        <w:rPr>
          <w:rFonts w:ascii="Times New Roman" w:hAnsi="Times New Roman"/>
          <w:caps w:val="false"/>
          <w:smallCaps w:val="false"/>
          <w:sz w:val="20"/>
        </w:rPr>
        <w:t xml:space="preserve">the Company announced a fixed cost reduction plan, which includes a workforce reduction affecting approximately 20 employees. The Company expects to substantially complete this reduction by the end of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In connection with this plan, the Company recognized restructuring charges of approximately $1.8 million, primarily related to severance,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Severance payments are expected to be made through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Combined with other vendor-related cost reductions, the plan is expected to generate annualized savings of approximately $5 to $6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8, 2024, </w:t>
      </w:r>
      <w:r>
        <w:rPr>
          <w:rFonts w:ascii="Times New Roman" w:hAnsi="Times New Roman"/>
          <w:caps w:val="false"/>
          <w:smallCaps w:val="false"/>
          <w:sz w:val="20"/>
        </w:rPr>
        <w:t xml:space="preserve">the Company committed to a fixed cost-cutting plan, including a reduction in workforce which resulted in the termination of approximately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employees and 26 contractors globally. The Company incurred $0.6 million of restructuring charges during the year ended </w:t>
      </w:r>
      <w:r>
        <w:rPr>
          <w:rStyle w:val="Emphasis"/>
          <w:rFonts w:ascii="Times New Roman" w:hAnsi="Times New Roman"/>
          <w:caps w:val="false"/>
          <w:smallCaps w:val="false"/>
          <w:sz w:val="20"/>
        </w:rPr>
        <w:t>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accounting for the restructuring costs follows the provisions of ASC </w:t>
      </w:r>
      <w:r>
        <w:rPr>
          <w:rStyle w:val="Emphasis"/>
          <w:rFonts w:ascii="Times New Roman" w:hAnsi="Times New Roman"/>
          <w:caps w:val="false"/>
          <w:smallCaps w:val="false"/>
          <w:sz w:val="20"/>
        </w:rPr>
        <w:t>420,</w:t>
      </w:r>
      <w:r>
        <w:rPr>
          <w:rFonts w:ascii="Times New Roman" w:hAnsi="Times New Roman"/>
          <w:caps w:val="false"/>
          <w:smallCaps w:val="false"/>
          <w:sz w:val="20"/>
        </w:rPr>
        <w:t xml:space="preserve"> "Accounting for Costs Associated with Exit or Disposal Activities," which requires the recognition of a liability once the restructuring plan is communicated to affected employees and meets the criteria of being probable and reasonably estimable. The Company recognizes a liability for employee severance, other benefits, and involuntary terminations on the communication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provide a summary of the restructuring costs incurred:</w:t>
      </w:r>
    </w:p>
    <w:p>
      <w:pPr>
        <w:pStyle w:val="TextBody"/>
        <w:bidi w:val="0"/>
        <w:spacing w:before="0" w:after="0"/>
        <w:ind w:left="0" w:right="0" w:hanging="0"/>
        <w:jc w:val="left"/>
        <w:rPr>
          <w:caps w:val="false"/>
          <w:smallCaps w:val="false"/>
        </w:rPr>
      </w:pPr>
      <w:r>
        <w:rPr>
          <w:caps w:val="false"/>
          <w:smallCaps w:val="false"/>
        </w:rPr>
        <w:t> </w:t>
      </w:r>
    </w:p>
    <w:tbl>
      <w:tblPr>
        <w:tblW w:w="6003" w:type="dxa"/>
        <w:jc w:val="left"/>
        <w:tblInd w:w="0" w:type="dxa"/>
        <w:tblLayout w:type="fixed"/>
        <w:tblCellMar>
          <w:top w:w="0" w:type="dxa"/>
          <w:left w:w="0" w:type="dxa"/>
          <w:bottom w:w="0" w:type="dxa"/>
          <w:right w:w="0" w:type="dxa"/>
        </w:tblCellMar>
      </w:tblPr>
      <w:tblGrid>
        <w:gridCol w:w="2225"/>
        <w:gridCol w:w="60"/>
        <w:gridCol w:w="360"/>
        <w:gridCol w:w="1399"/>
        <w:gridCol w:w="60"/>
        <w:gridCol w:w="60"/>
        <w:gridCol w:w="422"/>
        <w:gridCol w:w="1337"/>
        <w:gridCol w:w="8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severance</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restructuring costs(1)</w:t>
            </w:r>
          </w:p>
        </w:tc>
        <w:tc>
          <w:tcPr>
            <w:tcW w:w="60" w:type="dxa"/>
            <w:tcBorders/>
            <w:shd w:fill="FFFFFF" w:val="clear"/>
            <w:vAlign w:val="center"/>
          </w:tcPr>
          <w:p>
            <w:pPr>
              <w:pStyle w:val="TableContents"/>
              <w:bidi w:val="0"/>
              <w:spacing w:before="0" w:after="283"/>
              <w:ind w:left="0" w:right="0" w:hanging="0"/>
              <w:jc w:val="left"/>
              <w:rPr/>
            </w:pPr>
            <w:r>
              <w:rPr/>
              <w:t> </w:t>
            </w:r>
          </w:p>
        </w:tc>
        <w:tc>
          <w:tcPr>
            <w:tcW w:w="3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99"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7"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9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584" w:type="dxa"/>
        <w:jc w:val="left"/>
        <w:tblInd w:w="0" w:type="dxa"/>
        <w:tblLayout w:type="fixed"/>
        <w:tblCellMar>
          <w:top w:w="0" w:type="dxa"/>
          <w:left w:w="0" w:type="dxa"/>
          <w:bottom w:w="0" w:type="dxa"/>
          <w:right w:w="0" w:type="dxa"/>
        </w:tblCellMar>
      </w:tblPr>
      <w:tblGrid>
        <w:gridCol w:w="2225"/>
        <w:gridCol w:w="60"/>
        <w:gridCol w:w="317"/>
        <w:gridCol w:w="1232"/>
        <w:gridCol w:w="60"/>
        <w:gridCol w:w="60"/>
        <w:gridCol w:w="372"/>
        <w:gridCol w:w="1178"/>
        <w:gridCol w:w="80"/>
      </w:tblGrid>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severance</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683</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restructuring costs(1)</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78"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restructuring costs</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Includes reversal of costs associated with a contract settlement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the Company recognized restructuring charges of approximately $1.8 million, of which $1.0 million is recorded in Sales and Distribution expenses and $0.8 million is recorded in General and Administrative expenses, primarily related to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total restructuring reserve:</w:t>
      </w:r>
    </w:p>
    <w:p>
      <w:pPr>
        <w:pStyle w:val="TextBody"/>
        <w:bidi w:val="0"/>
        <w:spacing w:before="0" w:after="0"/>
        <w:ind w:left="0" w:right="0" w:hanging="0"/>
        <w:jc w:val="left"/>
        <w:rPr>
          <w:caps w:val="false"/>
          <w:smallCaps w:val="false"/>
        </w:rPr>
      </w:pPr>
      <w:r>
        <w:rPr>
          <w:caps w:val="false"/>
          <w:smallCaps w:val="false"/>
        </w:rPr>
        <w:t> </w:t>
      </w:r>
    </w:p>
    <w:tbl>
      <w:tblPr>
        <w:tblW w:w="4319" w:type="dxa"/>
        <w:jc w:val="left"/>
        <w:tblInd w:w="0" w:type="dxa"/>
        <w:tblLayout w:type="fixed"/>
        <w:tblCellMar>
          <w:top w:w="0" w:type="dxa"/>
          <w:left w:w="0" w:type="dxa"/>
          <w:bottom w:w="0" w:type="dxa"/>
          <w:right w:w="0" w:type="dxa"/>
        </w:tblCellMar>
      </w:tblPr>
      <w:tblGrid>
        <w:gridCol w:w="2450"/>
        <w:gridCol w:w="60"/>
        <w:gridCol w:w="354"/>
        <w:gridCol w:w="1375"/>
        <w:gridCol w:w="8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Employee Severance</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3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Charges</w:t>
            </w:r>
          </w:p>
        </w:tc>
        <w:tc>
          <w:tcPr>
            <w:tcW w:w="60"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ind w:left="0" w:right="0" w:hanging="0"/>
              <w:jc w:val="left"/>
              <w:rPr/>
            </w:pPr>
            <w:r>
              <w:rPr/>
              <w:t> </w:t>
            </w:r>
          </w:p>
        </w:tc>
        <w:tc>
          <w:tcPr>
            <w:tcW w:w="13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Usage-cash</w:t>
            </w:r>
          </w:p>
        </w:tc>
        <w:tc>
          <w:tcPr>
            <w:tcW w:w="60" w:type="dxa"/>
            <w:tcBorders/>
            <w:shd w:fill="CCEEFF" w:val="clear"/>
            <w:vAlign w:val="center"/>
          </w:tcPr>
          <w:p>
            <w:pPr>
              <w:pStyle w:val="TableContents"/>
              <w:bidi w:val="0"/>
              <w:spacing w:before="0" w:after="283"/>
              <w:jc w:val="left"/>
              <w:rPr/>
            </w:pPr>
            <w:r>
              <w:rPr/>
              <w:t> </w:t>
            </w:r>
          </w:p>
        </w:tc>
        <w:tc>
          <w:tcPr>
            <w:tcW w:w="3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2025</w:t>
            </w:r>
          </w:p>
        </w:tc>
        <w:tc>
          <w:tcPr>
            <w:tcW w:w="60" w:type="dxa"/>
            <w:tcBorders/>
            <w:shd w:fill="FFFFFF" w:val="clear"/>
            <w:vAlign w:val="center"/>
          </w:tcPr>
          <w:p>
            <w:pPr>
              <w:pStyle w:val="TableContents"/>
              <w:bidi w:val="0"/>
              <w:spacing w:before="0" w:after="283"/>
              <w:ind w:left="0" w:right="0" w:hanging="0"/>
              <w:jc w:val="left"/>
              <w:rPr/>
            </w:pPr>
            <w:r>
              <w:rPr/>
              <w:t> </w:t>
            </w:r>
          </w:p>
        </w:tc>
        <w:tc>
          <w:tcPr>
            <w:tcW w:w="3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75"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1,432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the Company had a liability of $1.4 million for restructuring costs, which was included in accrued expenses and other current liabilities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December 31, 2024, </w:t>
      </w:r>
      <w:r>
        <w:rPr>
          <w:rFonts w:ascii="Times New Roman" w:hAnsi="Times New Roman"/>
          <w:caps w:val="false"/>
          <w:smallCaps w:val="false"/>
          <w:sz w:val="20"/>
        </w:rPr>
        <w:t>the Company did not have a liability for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will continue to assess the restructuring plan's progress and provide updates as required in future financial statements if there are material changes to the initial estimates or additional significant restructuring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2785" w:type="dxa"/>
        <w:jc w:val="left"/>
        <w:tblInd w:w="0" w:type="dxa"/>
        <w:tblLayout w:type="fixed"/>
        <w:tblCellMar>
          <w:top w:w="0" w:type="dxa"/>
          <w:left w:w="0" w:type="dxa"/>
          <w:bottom w:w="0" w:type="dxa"/>
          <w:right w:w="0" w:type="dxa"/>
        </w:tblCellMar>
      </w:tblPr>
      <w:tblGrid>
        <w:gridCol w:w="320"/>
        <w:gridCol w:w="2465"/>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Aterian, Inc. is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 The Company has determined that it has one operating segment. The Company's chief operating decision maker ("CODM") is its chief executive officer, who reviews financial information presented on a consolidated basis. The CODM uses consolidated operating margin and net income to assess financial performance and allocate resources. These financial metrics are used by the CODM to make key operating decisions, such as the determination of the rate at which the Company seeks to grow operating margin and the allocation of budget between cost of sales, variable sales costs, and other vendor and payroll expenses.</w:t>
      </w:r>
    </w:p>
    <w:p>
      <w:pPr>
        <w:pStyle w:val="TextBody"/>
        <w:bidi w:val="0"/>
        <w:spacing w:before="0" w:after="0"/>
        <w:ind w:left="0" w:right="0" w:hanging="0"/>
        <w:jc w:val="left"/>
        <w:rPr/>
      </w:pPr>
      <w:r>
        <w:rPr/>
        <w:t> </w:t>
      </w:r>
    </w:p>
    <w:tbl>
      <w:tblPr>
        <w:tblW w:w="5574" w:type="dxa"/>
        <w:jc w:val="left"/>
        <w:tblInd w:w="0" w:type="dxa"/>
        <w:tblLayout w:type="fixed"/>
        <w:tblCellMar>
          <w:top w:w="0" w:type="dxa"/>
          <w:left w:w="0" w:type="dxa"/>
          <w:bottom w:w="0" w:type="dxa"/>
          <w:right w:w="0" w:type="dxa"/>
        </w:tblCellMar>
      </w:tblPr>
      <w:tblGrid>
        <w:gridCol w:w="2900"/>
        <w:gridCol w:w="60"/>
        <w:gridCol w:w="207"/>
        <w:gridCol w:w="982"/>
        <w:gridCol w:w="89"/>
        <w:gridCol w:w="67"/>
        <w:gridCol w:w="207"/>
        <w:gridCol w:w="982"/>
        <w:gridCol w:w="80"/>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4" w:type="dxa"/>
            <w:gridSpan w:val="6"/>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b/>
                <w:sz w:val="20"/>
              </w:rPr>
              <w:t>Three Months Ended</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June 30, 2024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27,984</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8,896</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11,093</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sales costs (1)</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9,048</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5,497</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4,721</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9"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8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items(2)</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89"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738" w:type="dxa"/>
        <w:jc w:val="left"/>
        <w:tblInd w:w="0" w:type="dxa"/>
        <w:tblLayout w:type="fixed"/>
        <w:tblCellMar>
          <w:top w:w="0" w:type="dxa"/>
          <w:left w:w="0" w:type="dxa"/>
          <w:bottom w:w="0" w:type="dxa"/>
          <w:right w:w="0" w:type="dxa"/>
        </w:tblCellMar>
      </w:tblPr>
      <w:tblGrid>
        <w:gridCol w:w="3080"/>
        <w:gridCol w:w="60"/>
        <w:gridCol w:w="208"/>
        <w:gridCol w:w="981"/>
        <w:gridCol w:w="80"/>
        <w:gridCol w:w="60"/>
        <w:gridCol w:w="208"/>
        <w:gridCol w:w="981"/>
        <w:gridCol w:w="80"/>
      </w:tblGrid>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2024</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18,139</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sales costs (1)</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22,345</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vendor and payroll expenses</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10,751</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w:t>
            </w:r>
          </w:p>
        </w:tc>
        <w:tc>
          <w:tcPr>
            <w:tcW w:w="80" w:type="dxa"/>
            <w:tcBorders/>
            <w:shd w:fill="CCEEFF" w:val="clear"/>
            <w:vAlign w:val="center"/>
          </w:tcPr>
          <w:p>
            <w:pPr>
              <w:pStyle w:val="TableContents"/>
              <w:bidi w:val="0"/>
              <w:spacing w:before="0" w:after="283"/>
              <w:jc w:val="left"/>
              <w:rPr/>
            </w:pPr>
            <w:r>
              <w:rPr/>
              <w:t> </w:t>
            </w:r>
          </w:p>
        </w:tc>
      </w:tr>
      <w:tr>
        <w:trPr/>
        <w:tc>
          <w:tcPr>
            <w:tcW w:w="3080"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items(2)</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FFFFFF" w:val="cle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Variable sales costs primarily include e-commerce platform commissions, online advertising, and selling and logistics expenses.</w:t>
      </w:r>
    </w:p>
    <w:p>
      <w:pPr>
        <w:pStyle w:val="TextBody"/>
        <w:bidi w:val="0"/>
        <w:spacing w:before="0" w:after="0"/>
        <w:ind w:left="16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Other segment items primarily include incomes taxes, interest expense, and the change in fair value of warrant liabilities.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CODM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use total assets as a financial metric when making key operating decisions.</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r>
              <w:rPr>
                <w:rFonts w:ascii="Times New Roman;Times;serif" w:hAnsi="Times New Roman;Times;serif"/>
                <w:b/>
                <w:sz w:val="20"/>
              </w:rPr>
              <w:t xml:space="preserve"> </w:t>
            </w:r>
          </w:p>
        </w:tc>
        <w:tc>
          <w:tcPr>
            <w:tcW w:w="2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SUBSEQUENT EVENTS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July 4, 2025, </w:t>
      </w:r>
      <w:r>
        <w:rPr>
          <w:rFonts w:ascii="Times New Roman;Times;serif" w:hAnsi="Times New Roman;Times;serif"/>
          <w:sz w:val="20"/>
        </w:rPr>
        <w:t xml:space="preserve">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w:t>
      </w:r>
      <w:r>
        <w:rPr>
          <w:rStyle w:val="Emphasis"/>
          <w:rFonts w:ascii="Times New Roman;Times;serif" w:hAnsi="Times New Roman;Times;serif"/>
          <w:sz w:val="20"/>
        </w:rPr>
        <w:t>2025</w:t>
      </w:r>
      <w:r>
        <w:rPr>
          <w:rFonts w:ascii="Times New Roman;Times;serif" w:hAnsi="Times New Roman;Times;serif"/>
          <w:sz w:val="20"/>
        </w:rPr>
        <w:t xml:space="preserve"> and others implemented through </w:t>
      </w:r>
      <w:r>
        <w:rPr>
          <w:rStyle w:val="Emphasis"/>
          <w:rFonts w:ascii="Times New Roman;Times;serif" w:hAnsi="Times New Roman;Times;serif"/>
          <w:sz w:val="20"/>
        </w:rPr>
        <w:t>2027.</w:t>
      </w:r>
      <w:r>
        <w:rPr>
          <w:rFonts w:ascii="Times New Roman;Times;serif" w:hAnsi="Times New Roman;Times;serif"/>
          <w:sz w:val="20"/>
        </w:rPr>
        <w:t xml:space="preserve"> We are currently assessing its impact on our consolidated financial statements.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1" w:name="mda"/>
      <w:bookmarkEnd w:id="11"/>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with our audited financial statements and related notes thereto for the year ended December 31, 2024 included in our Annual Report on Form 10-K for the year ended December 31, 2024 as filed with the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March 25, 2025. As discussed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Forward-Looking Statements</w:t>
      </w:r>
      <w:r>
        <w:rPr>
          <w:rFonts w:ascii="Times New Roman" w:hAnsi="Times New Roman"/>
          <w:caps w:val="false"/>
          <w:smallCaps w:val="false"/>
          <w:sz w:val="20"/>
        </w:rPr>
        <w:t>”</w:t>
      </w:r>
      <w:r>
        <w:rPr>
          <w:rFonts w:ascii="Times New Roman" w:hAnsi="Times New Roman"/>
          <w:i/>
          <w:caps w:val="false"/>
          <w:smallCaps w:val="false"/>
          <w:sz w:val="20"/>
        </w:rPr>
        <w:t xml:space="preserve">,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in the section titled </w:t>
      </w:r>
      <w:r>
        <w:rPr>
          <w:rFonts w:ascii="Times New Roman" w:hAnsi="Times New Roman"/>
          <w:caps w:val="false"/>
          <w:smallCaps w:val="false"/>
          <w:sz w:val="20"/>
        </w:rPr>
        <w:t>“</w:t>
      </w:r>
      <w:r>
        <w:rPr>
          <w:rFonts w:ascii="Times New Roman" w:hAnsi="Times New Roman"/>
          <w:i/>
          <w:caps w:val="false"/>
          <w:smallCaps w:val="false"/>
          <w:sz w:val="20"/>
        </w:rPr>
        <w:t>Special Note Regarding Forward 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those discussed in the section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under Part II, Item 1A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Unless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Aterian,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this Quarterly Report on Form 10-Q refer to Aterian, Inc. and our consolidated subsidiaries, including Aterian Group,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consumer products company that predominantly operates through online retail channels such as Amazon, Walmart, and Target and its own direct to consumer websites. The Company operates its owned brands, which were either incubated or purchased, selling products in multiple categories, including home and kitchen appliances, kitchenware, air quality appliances, health and beauty products and essential oils.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brands include Squatty Potty, HomeLabs, Mueller Living, PurSteam, Healing Solutions, and Photo Paper Direct ("PPD").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Seasonality of Business and Product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individual product categories are typically affected by seasonal sales trends primarily resulting from the timing of the summer season for certain of our environmental appliance products and the fall and holiday season for our small kitchen appliances and accessories. With our current mix of environmental appliances, the sales of those products tend to be significantly higher in the summer season. Further, our essential oils, small kitchen appliances and accessories tend to have higher sales during the fourth quarter, which includes Thanksgiving and the December holiday season. As a result, our operational results, cash flows, cash and inventory positions may fluctuate materially in any quarterly period depending on, among other things, adverse weather conditions, shifts in the timing of certain holidays and changes in our product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mix can affect our gross profit and the variable portion of our sales and distribution expenses. We rely heavily on a global supply chain in which the cost, lead times, and delays, as well as global and geopolitical events can ultimately have a direct impact to our margins. Further, impacts on our supply chain may force us to hold more inventory, which not only affects working capital but also requires us to increase our storage capacity, through our warehouse network, which of itself has a capital impact.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Operations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Net Revenue</w:t>
      </w:r>
      <w:r>
        <w:rPr>
          <w:rFonts w:ascii="Times New Roman" w:hAnsi="Times New Roman"/>
          <w:caps w:val="false"/>
          <w:smallCaps w:val="false"/>
          <w:sz w:val="20"/>
        </w:rPr>
        <w:t>—We derive our revenue from the sale of consumer products, primarily in the U.S. We sell products directly to consumers through online retail channels and through wholesale channels. Direct-to-consumer sales (i.e., direct net revenue), which is currently the majority of our revenue, is done through various online retail channels. We sell on Amazon.com, Walmart.com, Target.com and our own websites, with the large majority of our sales being made through Amazon.com. For all of our sales and distribution channels, revenue is recognized when control of the product is transferred to the customer (i.e., when our performance obligation is satisfied), which typically occurs at the shipment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Goods Sold</w:t>
      </w:r>
      <w:r>
        <w:rPr>
          <w:rFonts w:ascii="Times New Roman" w:hAnsi="Times New Roman"/>
          <w:caps w:val="false"/>
          <w:smallCaps w:val="false"/>
          <w:sz w:val="20"/>
        </w:rPr>
        <w:t>—Cost of goods sold consists of the book value of inventory sold to customers during the reporting period. Book value of inventory includes the amounts we pay manufacturers for product, tariffs and duties associated with transporting product across national borders, and freight costs associated with transporting the product from our manufacturers to our warehouses, as applicable. Shrinkage costs are also recognized within the cost of goods sold. When circumstances dictate that we use net realizable value as the basis for recording inventory, we base our estimates on expected future selling prices, less expected disposal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first and second quarter of 2025, the U.S. government announced a series of new tariff policies affecting imports from several countries, including China. While these actions impact a range of global trade flows, the new tariffs targeting imports from China are the most significant for our business. As a result of these tariffs, we experienced an increase in our cost of goods sold during the three and six months ended June 30, 2025. In response, we implemented targeted price increases across affected product categories to partially offset the higher input costs. These pricing actions, however, contributed to a decline in unit volumes as consumer demand responded to the higher retail prices. We are monitoring the situation closely​ and are proactively evaluating strategies to mitigate the impact on our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Expenses: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Sales and Distribution Expenses</w:t>
      </w:r>
      <w:r>
        <w:rPr>
          <w:rFonts w:ascii="Times New Roman" w:hAnsi="Times New Roman"/>
          <w:caps w:val="false"/>
          <w:smallCaps w:val="false"/>
          <w:sz w:val="20"/>
        </w:rPr>
        <w:t>—Sales and distribution expenses consist of online advertising costs, marketing and promotional costs, sales and ecommerce platform commissions, fulfillment, including shipping and handling, and warehouse costs (i.e., sales and distribution variable expenses). Sales and distribution expenses also include employee cash and stock compensation and benefits and other related fixed costs. Shipping and handling expenses are included in our consolidated statements of operations in sales and distribution expenses. This includes inbound, pick and pack costs and outbound transportation costs to ship goods to customers performed by e-commerce platforms or incurred directly by us, through our own direct fulfillment platform, which leverages our technology platform and third-party logistics partners. Our sales and distribution expenses, specifically our logistics expenses and online advertising, will vary quarter to quarter as they are dependent on our sales volume, our product mix and whether we fulfill products ourselves, i.e., fulfillment by merchant (“FBM”), or through e-commerce platform service providers, i.e., fulfillment by Amazon (“FBA”) or fulfilled by Walmart (“WFS”). Products with less expensive fulfillment costs as a percentage of net revenue may allow for a lower gross margin, while still maintaining their targeted profitability level. Conversely, products with higher fulfillment costs will need to achieve a higher gross margin to maintain their targeted level of profitability. We are FBM One Day and Two Day Prime certified, allowing us to deliver our sales through Amazon to most customers within one or two days. We periodically review the locations and capacity of our third-party warehouses to ensure we have the appropriate geographic reach, which helps to reduce the average last mile shipping zones to the end customer and as such our speed of delivery improves while our shipping costs to customers decrease, prior to the impacts on shipping providers’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General and Administrative Expenses</w:t>
      </w:r>
      <w:r>
        <w:rPr>
          <w:rFonts w:ascii="Times New Roman" w:hAnsi="Times New Roman"/>
          <w:caps w:val="false"/>
          <w:smallCaps w:val="false"/>
          <w:sz w:val="20"/>
        </w:rPr>
        <w:t>—General and administrative expenses include cash and stock compensation and employee benefits for executive management, finance administration, legal, and human resources, facility costs, insurance, travel, professional service fees, and other general overhead costs, including the costs of being a public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Interest Expense, Net</w:t>
      </w:r>
      <w:r>
        <w:rPr>
          <w:rFonts w:ascii="Times New Roman" w:hAnsi="Times New Roman"/>
          <w:caps w:val="false"/>
          <w:smallCaps w:val="false"/>
          <w:sz w:val="20"/>
        </w:rPr>
        <w:t>—Interest expense, net includes the interest cost from our credit facility, and includes amortization of deferred finance costs and debt discounts from our credit facility (the “Credit Facility”) with MidCap Funding IV Trust (“MidCap”).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180" w:right="0" w:hanging="0"/>
        <w:jc w:val="left"/>
        <w:rPr/>
      </w:pPr>
      <w:r>
        <w:rPr/>
        <w:t> </w:t>
      </w:r>
    </w:p>
    <w:tbl>
      <w:tblPr>
        <w:tblW w:w="7668" w:type="dxa"/>
        <w:jc w:val="left"/>
        <w:tblInd w:w="0" w:type="dxa"/>
        <w:tblLayout w:type="fixed"/>
        <w:tblCellMar>
          <w:top w:w="0" w:type="dxa"/>
          <w:left w:w="0" w:type="dxa"/>
          <w:bottom w:w="0" w:type="dxa"/>
          <w:right w:w="0" w:type="dxa"/>
        </w:tblCellMar>
      </w:tblPr>
      <w:tblGrid>
        <w:gridCol w:w="3350"/>
        <w:gridCol w:w="60"/>
        <w:gridCol w:w="202"/>
        <w:gridCol w:w="954"/>
        <w:gridCol w:w="129"/>
        <w:gridCol w:w="97"/>
        <w:gridCol w:w="202"/>
        <w:gridCol w:w="954"/>
        <w:gridCol w:w="80"/>
        <w:gridCol w:w="60"/>
        <w:gridCol w:w="129"/>
        <w:gridCol w:w="566"/>
        <w:gridCol w:w="80"/>
        <w:gridCol w:w="60"/>
        <w:gridCol w:w="60"/>
        <w:gridCol w:w="440"/>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1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10,566</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lineRule="auto" w:line="288"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administrative(1)</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15,071</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(4,505</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(4,849</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7687" w:type="dxa"/>
        <w:jc w:val="left"/>
        <w:tblInd w:w="0" w:type="dxa"/>
        <w:tblLayout w:type="fixed"/>
        <w:tblCellMar>
          <w:top w:w="0" w:type="dxa"/>
          <w:left w:w="0" w:type="dxa"/>
          <w:bottom w:w="0" w:type="dxa"/>
          <w:right w:w="0" w:type="dxa"/>
        </w:tblCellMar>
      </w:tblPr>
      <w:tblGrid>
        <w:gridCol w:w="3350"/>
        <w:gridCol w:w="60"/>
        <w:gridCol w:w="262"/>
        <w:gridCol w:w="703"/>
        <w:gridCol w:w="167"/>
        <w:gridCol w:w="125"/>
        <w:gridCol w:w="262"/>
        <w:gridCol w:w="1018"/>
        <w:gridCol w:w="60"/>
        <w:gridCol w:w="60"/>
        <w:gridCol w:w="142"/>
        <w:gridCol w:w="553"/>
        <w:gridCol w:w="60"/>
        <w:gridCol w:w="60"/>
        <w:gridCol w:w="60"/>
        <w:gridCol w:w="560"/>
        <w:gridCol w:w="18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67"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6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 w:type="dxa"/>
            <w:tcBorders/>
            <w:shd w:fill="FFFFFF" w:val="clear"/>
            <w:vAlign w:val="center"/>
          </w:tcPr>
          <w:p>
            <w:pPr>
              <w:pStyle w:val="TableContents"/>
              <w:bidi w:val="0"/>
              <w:spacing w:before="0" w:after="283"/>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67"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months ended June 30, 2025 decreased compared to the prior year period. The decrease was primarily due to adjustments to previously accrued bonus-related stock compensation. These accruals, originally recorded during the year-ended December 31, 2024 based on expected equity settlement, were reversed in the current period due to changes in settlement approach and timing of vesting. In addition, the current period included a reversal of expense related to forfeitures for employees terminated as part of the May 2025 restructuring. As a result, the current quarter reflects a net reduction in expense due to these reversals, with a portion of the related expense being deferred to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6194" w:type="dxa"/>
        <w:jc w:val="left"/>
        <w:tblInd w:w="0" w:type="dxa"/>
        <w:tblLayout w:type="fixed"/>
        <w:tblCellMar>
          <w:top w:w="0" w:type="dxa"/>
          <w:left w:w="0" w:type="dxa"/>
          <w:bottom w:w="0" w:type="dxa"/>
          <w:right w:w="0" w:type="dxa"/>
        </w:tblCellMar>
      </w:tblPr>
      <w:tblGrid>
        <w:gridCol w:w="3350"/>
        <w:gridCol w:w="60"/>
        <w:gridCol w:w="109"/>
        <w:gridCol w:w="883"/>
        <w:gridCol w:w="446"/>
        <w:gridCol w:w="109"/>
        <w:gridCol w:w="109"/>
        <w:gridCol w:w="883"/>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4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4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4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446"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4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4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4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446"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(25.0</w:t>
            </w:r>
          </w:p>
        </w:tc>
        <w:tc>
          <w:tcPr>
            <w:tcW w:w="4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ind w:left="0" w:right="0" w:hanging="0"/>
              <w:jc w:val="left"/>
              <w:rPr/>
            </w:pPr>
            <w:r>
              <w:rPr/>
              <w:t> </w:t>
            </w:r>
          </w:p>
        </w:tc>
        <w:tc>
          <w:tcPr>
            <w:tcW w:w="10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our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291" w:type="dxa"/>
        <w:jc w:val="left"/>
        <w:tblInd w:w="0" w:type="dxa"/>
        <w:tblLayout w:type="fixed"/>
        <w:tblCellMar>
          <w:top w:w="0" w:type="dxa"/>
          <w:left w:w="0" w:type="dxa"/>
          <w:bottom w:w="0" w:type="dxa"/>
          <w:right w:w="0" w:type="dxa"/>
        </w:tblCellMar>
      </w:tblPr>
      <w:tblGrid>
        <w:gridCol w:w="995"/>
        <w:gridCol w:w="60"/>
        <w:gridCol w:w="204"/>
        <w:gridCol w:w="966"/>
        <w:gridCol w:w="98"/>
        <w:gridCol w:w="98"/>
        <w:gridCol w:w="204"/>
        <w:gridCol w:w="966"/>
        <w:gridCol w:w="60"/>
        <w:gridCol w:w="60"/>
        <w:gridCol w:w="129"/>
        <w:gridCol w:w="566"/>
        <w:gridCol w:w="80"/>
        <w:gridCol w:w="60"/>
        <w:gridCol w:w="60"/>
        <w:gridCol w:w="440"/>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1"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17,845</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(9,984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1,617</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&gt;100</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(30.5</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revenue decreased $8.5 million, or 30.5%, during the three months ended June 30, 2025 to $19.5 million, compared to $28.0 million for the three months ended June 30, 2024. The decrease in net revenue was primarily attributable to a decrease in direct net revenue of $10.0 million, or 35.9%, as the newly implemented tariffs increased our cost of goods sold, prompting us to raise prices to mitigate the impact. These pricing actions, combined with the broader challenging macroeconomic environment, led to a reduction in unit volume as consumer demand softened at elevated price levels</w:t>
      </w:r>
    </w:p>
    <w:p>
      <w:pPr>
        <w:pStyle w:val="TextBody"/>
        <w:bidi w:val="0"/>
        <w:spacing w:before="0" w:after="0"/>
        <w:ind w:left="0" w:right="0" w:hanging="0"/>
        <w:jc w:val="left"/>
        <w:rPr>
          <w:caps w:val="false"/>
          <w:smallCaps w:val="false"/>
        </w:rPr>
      </w:pPr>
      <w:r>
        <w:rPr>
          <w:caps w:val="false"/>
          <w:smallCaps w:val="false"/>
        </w:rPr>
        <w:t> </w:t>
      </w:r>
    </w:p>
    <w:tbl>
      <w:tblPr>
        <w:tblW w:w="5676" w:type="dxa"/>
        <w:jc w:val="left"/>
        <w:tblInd w:w="0" w:type="dxa"/>
        <w:tblLayout w:type="fixed"/>
        <w:tblCellMar>
          <w:top w:w="0" w:type="dxa"/>
          <w:left w:w="0" w:type="dxa"/>
          <w:bottom w:w="0" w:type="dxa"/>
          <w:right w:w="0" w:type="dxa"/>
        </w:tblCellMar>
      </w:tblPr>
      <w:tblGrid>
        <w:gridCol w:w="3020"/>
        <w:gridCol w:w="60"/>
        <w:gridCol w:w="204"/>
        <w:gridCol w:w="966"/>
        <w:gridCol w:w="98"/>
        <w:gridCol w:w="98"/>
        <w:gridCol w:w="204"/>
        <w:gridCol w:w="966"/>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10,396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3,288</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421</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1,294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1,690</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3,892</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5,046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net revenue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19,462</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the exception of Kitchen appliances, every category of business had a reduction in sales compared to the prior year primarily relating to softness in consumer demand due to the macroeconomic environment and higher sales prices implemented in response to tariffs, which led to a slowdown in unit volume. The increase in Kitchen Appliances is primarily driven by more prominent Amazon listing placements and the initial product load-in related to our expanded presence in Walmart stores.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left"/>
        <w:rPr>
          <w:caps w:val="false"/>
          <w:smallCaps w:val="false"/>
        </w:rPr>
      </w:pPr>
      <w:r>
        <w:rPr>
          <w:caps w:val="false"/>
          <w:smallCaps w:val="false"/>
        </w:rPr>
        <w:t> </w:t>
      </w:r>
    </w:p>
    <w:tbl>
      <w:tblPr>
        <w:tblW w:w="5831" w:type="dxa"/>
        <w:jc w:val="left"/>
        <w:tblInd w:w="0" w:type="dxa"/>
        <w:tblLayout w:type="fixed"/>
        <w:tblCellMar>
          <w:top w:w="0" w:type="dxa"/>
          <w:left w:w="0" w:type="dxa"/>
          <w:bottom w:w="0" w:type="dxa"/>
          <w:right w:w="0" w:type="dxa"/>
        </w:tblCellMar>
      </w:tblPr>
      <w:tblGrid>
        <w:gridCol w:w="1535"/>
        <w:gridCol w:w="60"/>
        <w:gridCol w:w="204"/>
        <w:gridCol w:w="966"/>
        <w:gridCol w:w="98"/>
        <w:gridCol w:w="98"/>
        <w:gridCol w:w="204"/>
        <w:gridCol w:w="966"/>
        <w:gridCol w:w="60"/>
        <w:gridCol w:w="60"/>
        <w:gridCol w:w="129"/>
        <w:gridCol w:w="566"/>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91" w:type="dxa"/>
            <w:gridSpan w:val="14"/>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8,896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10,566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(6,325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w:t>
            </w:r>
          </w:p>
        </w:tc>
        <w:tc>
          <w:tcPr>
            <w:tcW w:w="24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$2.2 million, or 19.8%, during the three months ended June 30, 2025 to $8.9 million, compared to $11.1 million for the three months ended June 30, 2024, primarily from reduced sales volumes. The decrease in cost of goods sold was primarily attributable to a decrease of $3.8 million in cost of goods sold from our direct businesses, partially offset by an increase of $1.6 million in cost of goods sold from our wholesale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both"/>
        <w:rPr>
          <w:rFonts w:ascii="Times New Roman" w:hAnsi="Times New Roman"/>
          <w:caps w:val="false"/>
          <w:smallCaps w:val="false"/>
          <w:sz w:val="20"/>
        </w:rPr>
      </w:pPr>
      <w:r>
        <w:rPr>
          <w:rFonts w:ascii="Times New Roman" w:hAnsi="Times New Roman"/>
          <w:caps w:val="false"/>
          <w:smallCaps w:val="false"/>
          <w:sz w:val="20"/>
        </w:rPr>
        <w:t>Gross profit decreased to 54.3% for the three months ended June 30, 2025 from 60.4% for the three months ended June 30, 2024. The decrease in gross profit was due primarily to product mix, as well as higher cost of sales resulting from the impact of newly implemented tariffs, partially offset by the benefit of price increases taken to mitigate these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left"/>
        <w:rPr>
          <w:caps w:val="false"/>
          <w:smallCaps w:val="false"/>
        </w:rPr>
      </w:pPr>
      <w:r>
        <w:rPr>
          <w:caps w:val="false"/>
          <w:smallCaps w:val="false"/>
        </w:rPr>
        <w:t> </w:t>
      </w:r>
    </w:p>
    <w:tbl>
      <w:tblPr>
        <w:tblW w:w="8505" w:type="dxa"/>
        <w:jc w:val="left"/>
        <w:tblInd w:w="0" w:type="dxa"/>
        <w:tblLayout w:type="fixed"/>
        <w:tblCellMar>
          <w:top w:w="0" w:type="dxa"/>
          <w:left w:w="0" w:type="dxa"/>
          <w:bottom w:w="0" w:type="dxa"/>
          <w:right w:w="0" w:type="dxa"/>
        </w:tblCellMar>
      </w:tblPr>
      <w:tblGrid>
        <w:gridCol w:w="2570"/>
        <w:gridCol w:w="60"/>
        <w:gridCol w:w="204"/>
        <w:gridCol w:w="966"/>
        <w:gridCol w:w="98"/>
        <w:gridCol w:w="98"/>
        <w:gridCol w:w="489"/>
        <w:gridCol w:w="2320"/>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8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center"/>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809"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12,357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48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3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w:t>
            </w:r>
          </w:p>
        </w:tc>
        <w:tc>
          <w:tcPr>
            <w:tcW w:w="24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$12.4 million for the three months ended June 30, 2025, from $15.2 million for the three months ended June 30, 2024. This decrease is primarily attributable to the decrease in the volume of products sold in the three months ended June 30, 2025, as our e-commerce platform commissions, online advertising, selling and logistics expenses decreased to $9.1 million in the three months ended June 30, 2025 as compared to $12.0 million in the prior year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sales and distribution fixed costs (e.g., salary and office expenses) including stock-based compensation increased to $3.3 million for the three months ended June 30, 2025, from $3.1 million for the three months ended June 30, 2024. This increase is primarily attributable to higher restructuring costs of $1.1 million, partially offset by lower stock-compensation expense of $0.8 million and lower miscellaneous office expense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63.3% for the three months ended June 30, 2025, from 54.2% for the three months ended June 30, 2024. E-commerce platform commissions, online advertising, selling and logistics expenses included within sales and distribution expenses, as a percentage of net revenue, were 46.5% for the three months ended June 30, 2025 as compared to 43.0% for the three months ended June 30, 2024. This increase in sales and distribution expenses as a percentage of revenue is primarily due to product mix and an increase in marketing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7146" w:type="dxa"/>
        <w:jc w:val="left"/>
        <w:tblInd w:w="0" w:type="dxa"/>
        <w:tblLayout w:type="fixed"/>
        <w:tblCellMar>
          <w:top w:w="0" w:type="dxa"/>
          <w:left w:w="0" w:type="dxa"/>
          <w:bottom w:w="0" w:type="dxa"/>
          <w:right w:w="0" w:type="dxa"/>
        </w:tblCellMar>
      </w:tblPr>
      <w:tblGrid>
        <w:gridCol w:w="2990"/>
        <w:gridCol w:w="60"/>
        <w:gridCol w:w="236"/>
        <w:gridCol w:w="919"/>
        <w:gridCol w:w="113"/>
        <w:gridCol w:w="113"/>
        <w:gridCol w:w="236"/>
        <w:gridCol w:w="919"/>
        <w:gridCol w:w="60"/>
        <w:gridCol w:w="60"/>
        <w:gridCol w:w="142"/>
        <w:gridCol w:w="553"/>
        <w:gridCol w:w="60"/>
        <w:gridCol w:w="60"/>
        <w:gridCol w:w="60"/>
        <w:gridCol w:w="38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11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1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2,714</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$2.0 million in stock-compensation expense, a decrease of $0.4 million in headcount expense, a decrease of $0.5 million in other miscellaneous costs, partially offset by an increase of $0.7 million in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tbl>
      <w:tblPr>
        <w:tblW w:w="5863" w:type="dxa"/>
        <w:jc w:val="left"/>
        <w:tblInd w:w="0" w:type="dxa"/>
        <w:tblLayout w:type="fixed"/>
        <w:tblCellMar>
          <w:top w:w="0" w:type="dxa"/>
          <w:left w:w="0" w:type="dxa"/>
          <w:bottom w:w="0" w:type="dxa"/>
          <w:right w:w="0" w:type="dxa"/>
        </w:tblCellMar>
      </w:tblPr>
      <w:tblGrid>
        <w:gridCol w:w="1670"/>
        <w:gridCol w:w="60"/>
        <w:gridCol w:w="305"/>
        <w:gridCol w:w="818"/>
        <w:gridCol w:w="146"/>
        <w:gridCol w:w="146"/>
        <w:gridCol w:w="305"/>
        <w:gridCol w:w="818"/>
        <w:gridCol w:w="60"/>
        <w:gridCol w:w="60"/>
        <w:gridCol w:w="280"/>
        <w:gridCol w:w="415"/>
        <w:gridCol w:w="80"/>
        <w:gridCol w:w="60"/>
        <w:gridCol w:w="60"/>
        <w:gridCol w:w="335"/>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3"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 was relatively flat for the three months ended June 30, 2025 and June 30,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p>
      <w:pPr>
        <w:pStyle w:val="TextBody"/>
        <w:bidi w:val="0"/>
        <w:spacing w:before="0" w:after="0"/>
        <w:ind w:left="0" w:right="0" w:hanging="0"/>
        <w:jc w:val="left"/>
        <w:rPr>
          <w:caps w:val="false"/>
          <w:smallCaps w:val="false"/>
        </w:rPr>
      </w:pPr>
      <w:r>
        <w:rPr>
          <w:caps w:val="false"/>
          <w:smallCaps w:val="false"/>
        </w:rPr>
        <w:t> </w:t>
      </w:r>
    </w:p>
    <w:tbl>
      <w:tblPr>
        <w:tblW w:w="8128" w:type="dxa"/>
        <w:jc w:val="left"/>
        <w:tblInd w:w="0" w:type="dxa"/>
        <w:tblLayout w:type="fixed"/>
        <w:tblCellMar>
          <w:top w:w="0" w:type="dxa"/>
          <w:left w:w="0" w:type="dxa"/>
          <w:bottom w:w="0" w:type="dxa"/>
          <w:right w:w="0" w:type="dxa"/>
        </w:tblCellMar>
      </w:tblPr>
      <w:tblGrid>
        <w:gridCol w:w="3950"/>
        <w:gridCol w:w="60"/>
        <w:gridCol w:w="327"/>
        <w:gridCol w:w="759"/>
        <w:gridCol w:w="209"/>
        <w:gridCol w:w="157"/>
        <w:gridCol w:w="327"/>
        <w:gridCol w:w="759"/>
        <w:gridCol w:w="80"/>
        <w:gridCol w:w="60"/>
        <w:gridCol w:w="244"/>
        <w:gridCol w:w="451"/>
        <w:gridCol w:w="60"/>
        <w:gridCol w:w="60"/>
        <w:gridCol w:w="60"/>
        <w:gridCol w:w="380"/>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09"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73" w:type="dxa"/>
            <w:gridSpan w:val="10"/>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3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w:t>
            </w:r>
          </w:p>
        </w:tc>
        <w:tc>
          <w:tcPr>
            <w:tcW w:w="20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57" w:type="dxa"/>
            <w:tcBorders/>
            <w:shd w:fill="CCEEFF" w:val="clear"/>
            <w:vAlign w:val="center"/>
          </w:tcPr>
          <w:p>
            <w:pPr>
              <w:pStyle w:val="TableContents"/>
              <w:bidi w:val="0"/>
              <w:spacing w:before="0" w:after="283"/>
              <w:ind w:left="0" w:right="0" w:hanging="0"/>
              <w:jc w:val="left"/>
              <w:rPr/>
            </w:pPr>
            <w:r>
              <w:rPr/>
              <w:t> </w:t>
            </w:r>
          </w:p>
        </w:tc>
        <w:tc>
          <w:tcPr>
            <w:tcW w:w="32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2025 and 2024 activity is related to the change in fair market value of the warrant liabilities from the common stock warrants from our March 2022 equity raise of capital. The change in fair value of warrant liabilities during the three months ending June 30, 2025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180" w:right="0" w:hanging="0"/>
        <w:jc w:val="left"/>
        <w:rPr/>
      </w:pPr>
      <w:r>
        <w:rPr/>
        <w:t> </w:t>
      </w:r>
    </w:p>
    <w:p>
      <w:pPr>
        <w:pStyle w:val="TextBody"/>
        <w:bidi w:val="0"/>
        <w:spacing w:before="0" w:after="0"/>
        <w:ind w:left="0" w:right="0" w:hanging="0"/>
        <w:jc w:val="left"/>
        <w:rPr/>
      </w:pPr>
      <w:r>
        <w:rPr/>
        <w:t> </w:t>
      </w:r>
    </w:p>
    <w:tbl>
      <w:tblPr>
        <w:tblW w:w="7508" w:type="dxa"/>
        <w:jc w:val="left"/>
        <w:tblInd w:w="0" w:type="dxa"/>
        <w:tblLayout w:type="fixed"/>
        <w:tblCellMar>
          <w:top w:w="0" w:type="dxa"/>
          <w:left w:w="0" w:type="dxa"/>
          <w:bottom w:w="0" w:type="dxa"/>
          <w:right w:w="0" w:type="dxa"/>
        </w:tblCellMar>
      </w:tblPr>
      <w:tblGrid>
        <w:gridCol w:w="3350"/>
        <w:gridCol w:w="60"/>
        <w:gridCol w:w="183"/>
        <w:gridCol w:w="864"/>
        <w:gridCol w:w="117"/>
        <w:gridCol w:w="87"/>
        <w:gridCol w:w="183"/>
        <w:gridCol w:w="864"/>
        <w:gridCol w:w="80"/>
        <w:gridCol w:w="60"/>
        <w:gridCol w:w="125"/>
        <w:gridCol w:w="650"/>
        <w:gridCol w:w="80"/>
        <w:gridCol w:w="60"/>
        <w:gridCol w:w="60"/>
        <w:gridCol w:w="440"/>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1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14,832</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19,990</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distribution(1)</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22,018</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lineRule="auto" w:line="288"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administrative(1)</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w:t>
            </w:r>
          </w:p>
        </w:tc>
        <w:tc>
          <w:tcPr>
            <w:tcW w:w="11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28,191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(8,201</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(8,725</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11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ind w:left="0" w:right="0" w:hanging="0"/>
              <w:jc w:val="left"/>
              <w:rPr/>
            </w:pPr>
            <w:r>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5530" w:type="dxa"/>
        <w:jc w:val="left"/>
        <w:tblInd w:w="0" w:type="dxa"/>
        <w:tblLayout w:type="fixed"/>
        <w:tblCellMar>
          <w:top w:w="0" w:type="dxa"/>
          <w:left w:w="0" w:type="dxa"/>
          <w:bottom w:w="0" w:type="dxa"/>
          <w:right w:w="0" w:type="dxa"/>
        </w:tblCellMar>
      </w:tblPr>
      <w:tblGrid>
        <w:gridCol w:w="60"/>
        <w:gridCol w:w="245"/>
        <w:gridCol w:w="522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include stock-based compensation expense as follows:</w:t>
            </w:r>
          </w:p>
        </w:tc>
      </w:tr>
    </w:tbl>
    <w:p>
      <w:pPr>
        <w:pStyle w:val="TextBody"/>
        <w:bidi w:val="0"/>
        <w:spacing w:before="0" w:after="0"/>
        <w:ind w:left="0" w:right="0" w:hanging="0"/>
        <w:jc w:val="left"/>
        <w:rPr>
          <w:caps w:val="false"/>
          <w:smallCaps w:val="false"/>
        </w:rPr>
      </w:pPr>
      <w:r>
        <w:rPr>
          <w:caps w:val="false"/>
          <w:smallCaps w:val="false"/>
        </w:rPr>
        <w:t> </w:t>
      </w:r>
    </w:p>
    <w:tbl>
      <w:tblPr>
        <w:tblW w:w="7326" w:type="dxa"/>
        <w:jc w:val="left"/>
        <w:tblInd w:w="0" w:type="dxa"/>
        <w:tblLayout w:type="fixed"/>
        <w:tblCellMar>
          <w:top w:w="0" w:type="dxa"/>
          <w:left w:w="0" w:type="dxa"/>
          <w:bottom w:w="0" w:type="dxa"/>
          <w:right w:w="0" w:type="dxa"/>
        </w:tblCellMar>
      </w:tblPr>
      <w:tblGrid>
        <w:gridCol w:w="3350"/>
        <w:gridCol w:w="60"/>
        <w:gridCol w:w="241"/>
        <w:gridCol w:w="647"/>
        <w:gridCol w:w="115"/>
        <w:gridCol w:w="115"/>
        <w:gridCol w:w="241"/>
        <w:gridCol w:w="937"/>
        <w:gridCol w:w="60"/>
        <w:gridCol w:w="60"/>
        <w:gridCol w:w="142"/>
        <w:gridCol w:w="553"/>
        <w:gridCol w:w="60"/>
        <w:gridCol w:w="60"/>
        <w:gridCol w:w="60"/>
        <w:gridCol w:w="440"/>
        <w:gridCol w:w="18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73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six months ended June 30, 2025 decreased compared to the prior year period. The decrease was primarily due to adjustments during the three months ended June 30, 2025 to previously accrued bonus-related stock compensation. These accruals, originally recorded during the year-ended December 31, 2024 based on expected equity settlement, were reversed in the current period due to changes in settlement approach and timing of vesting. In addition, the current period included a reversal of expense related to forfeitures for employees terminated as part of the May 2025 restructuring. As a result, the current period reflects a net reduction in expense due to these reversals, with a portion of the related expense being deferred to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components of our results of operations as a percentage of net revenue:</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3350"/>
        <w:gridCol w:w="60"/>
        <w:gridCol w:w="98"/>
        <w:gridCol w:w="799"/>
        <w:gridCol w:w="403"/>
        <w:gridCol w:w="98"/>
        <w:gridCol w:w="98"/>
        <w:gridCol w:w="799"/>
        <w:gridCol w:w="245"/>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4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89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4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 sold</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4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4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403"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24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w:t>
            </w:r>
          </w:p>
        </w:tc>
        <w:tc>
          <w:tcPr>
            <w:tcW w:w="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7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403"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4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Net Revenue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Revenue by Product Categories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our net revenue disaggregated by product categories:</w:t>
      </w:r>
    </w:p>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995"/>
        <w:gridCol w:w="60"/>
        <w:gridCol w:w="185"/>
        <w:gridCol w:w="875"/>
        <w:gridCol w:w="89"/>
        <w:gridCol w:w="89"/>
        <w:gridCol w:w="185"/>
        <w:gridCol w:w="875"/>
        <w:gridCol w:w="60"/>
        <w:gridCol w:w="60"/>
        <w:gridCol w:w="125"/>
        <w:gridCol w:w="650"/>
        <w:gridCol w:w="80"/>
        <w:gridCol w:w="60"/>
        <w:gridCol w:w="60"/>
        <w:gridCol w:w="440"/>
        <w:gridCol w:w="245"/>
      </w:tblGrid>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32,799</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Wholesale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&gt;100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revenue decreased $13.4 million, or 27.8%, during the six months ended June 30, 2025 to $34.9 million, compared to $48.2 million for the six months ended June 30, 2024. The decrease in net revenue was primarily attributable to a decrease in direct net revenue of $15.1 million, or 31.5%, related to changes to Amazon's marketing affiliate program, which reduced traffic and conversions on certain products. In addition, the newly implemented tariffs increased our cost of goods sold, prompting us to raise prices to mitigate the impact. These pricing actions, combined with the broader challenging macroeconomic environment, led to a reduction in unit volume as consumer demand softened at elevated price levels.</w:t>
      </w:r>
    </w:p>
    <w:p>
      <w:pPr>
        <w:pStyle w:val="TextBody"/>
        <w:bidi w:val="0"/>
        <w:spacing w:before="0" w:after="0"/>
        <w:ind w:left="160" w:right="0" w:hanging="0"/>
        <w:jc w:val="both"/>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3020"/>
        <w:gridCol w:w="60"/>
        <w:gridCol w:w="185"/>
        <w:gridCol w:w="875"/>
        <w:gridCol w:w="89"/>
        <w:gridCol w:w="89"/>
        <w:gridCol w:w="185"/>
        <w:gridCol w:w="875"/>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Heating, cooling and air quality</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13,600</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Kitchen appliances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Health and beauty</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Cookware, kitchen tools and gadgets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2,690</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Home office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4,341</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Housewares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9,932</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Essential oils and related accessories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6,164</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48,199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the exception of Kitchen appliances, every category of business had a reduction in sales compared to the prior year primarily relating to softness in consumer demand due to the macroeconomic environment and higher sales prices implemented in response to tariffs, which led to a slowdown in unit volume. The increase in Kitchen Appliances is primarily driven by more prominent Amazon listing placements and the initial product load-in related to our expanded presence in Walmart stores.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 of Goods Sold and Gross Profit</w:t>
      </w:r>
    </w:p>
    <w:p>
      <w:pPr>
        <w:pStyle w:val="TextBody"/>
        <w:bidi w:val="0"/>
        <w:spacing w:before="0" w:after="0"/>
        <w:ind w:left="0" w:right="0" w:hanging="0"/>
        <w:jc w:val="left"/>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1535"/>
        <w:gridCol w:w="60"/>
        <w:gridCol w:w="185"/>
        <w:gridCol w:w="875"/>
        <w:gridCol w:w="89"/>
        <w:gridCol w:w="89"/>
        <w:gridCol w:w="185"/>
        <w:gridCol w:w="875"/>
        <w:gridCol w:w="60"/>
        <w:gridCol w:w="60"/>
        <w:gridCol w:w="125"/>
        <w:gridCol w:w="650"/>
        <w:gridCol w:w="80"/>
        <w:gridCol w:w="60"/>
        <w:gridCol w:w="60"/>
        <w:gridCol w:w="440"/>
        <w:gridCol w:w="24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33"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14,832</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goods sold decreased $3.3 million, or 18.2%, during the six months ended June 30, 2025 to $14.8 million, compared to $18.1 million for the six months ended June 30, 2024, primarily from reduced sales volumes. The decrease in cost of goods sold was primarily attributable to a decrease of $5.2 million in cost of goods sold from our direct businesses, partially offset by an increase of $1.9 million in cost of goods sold from our wholesale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caps w:val="false"/>
          <w:smallCaps w:val="false"/>
          <w:sz w:val="20"/>
        </w:rPr>
      </w:pPr>
      <w:r>
        <w:rPr>
          <w:rFonts w:ascii="Times New Roman" w:hAnsi="Times New Roman"/>
          <w:caps w:val="false"/>
          <w:smallCaps w:val="false"/>
          <w:sz w:val="20"/>
        </w:rPr>
        <w:t>Gross profit decreased to 57.4% for the six months ended June 30, 2025 from 62.4% for the six months ended June 30, 2024. The decrease in gross profit was due primarily to product mix, as well as higher cost of sales resulting from the impact of newly implemented tariffs, partially offset by the benefit of price increases taken to mitigate these costs.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Sales and Distribution Expenses</w:t>
      </w:r>
    </w:p>
    <w:p>
      <w:pPr>
        <w:pStyle w:val="TextBody"/>
        <w:bidi w:val="0"/>
        <w:spacing w:before="0" w:after="0"/>
        <w:ind w:left="0" w:right="0" w:hanging="0"/>
        <w:jc w:val="left"/>
        <w:rPr>
          <w:caps w:val="false"/>
          <w:smallCaps w:val="false"/>
        </w:rPr>
      </w:pPr>
      <w:r>
        <w:rPr>
          <w:caps w:val="false"/>
          <w:smallCaps w:val="false"/>
        </w:rPr>
        <w:t> </w:t>
      </w:r>
    </w:p>
    <w:tbl>
      <w:tblPr>
        <w:tblW w:w="8377" w:type="dxa"/>
        <w:jc w:val="left"/>
        <w:tblInd w:w="0" w:type="dxa"/>
        <w:tblLayout w:type="fixed"/>
        <w:tblCellMar>
          <w:top w:w="0" w:type="dxa"/>
          <w:left w:w="0" w:type="dxa"/>
          <w:bottom w:w="0" w:type="dxa"/>
          <w:right w:w="0" w:type="dxa"/>
        </w:tblCellMar>
      </w:tblPr>
      <w:tblGrid>
        <w:gridCol w:w="2570"/>
        <w:gridCol w:w="60"/>
        <w:gridCol w:w="185"/>
        <w:gridCol w:w="875"/>
        <w:gridCol w:w="89"/>
        <w:gridCol w:w="89"/>
        <w:gridCol w:w="490"/>
        <w:gridCol w:w="2319"/>
        <w:gridCol w:w="60"/>
        <w:gridCol w:w="60"/>
        <w:gridCol w:w="129"/>
        <w:gridCol w:w="566"/>
        <w:gridCol w:w="80"/>
        <w:gridCol w:w="60"/>
        <w:gridCol w:w="60"/>
        <w:gridCol w:w="440"/>
        <w:gridCol w:w="245"/>
      </w:tblGrid>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28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0" w:type="dxa"/>
            <w:gridSpan w:val="2"/>
            <w:tcBorders/>
            <w:shd w:fill="FFFFFF" w:val="clear"/>
            <w:vAlign w:val="center"/>
          </w:tcPr>
          <w:p>
            <w:pPr>
              <w:pStyle w:val="TableContents"/>
              <w:bidi w:val="0"/>
              <w:spacing w:before="0" w:after="283"/>
              <w:jc w:val="center"/>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809" w:type="dxa"/>
            <w:gridSpan w:val="2"/>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gridSpan w:val="2"/>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gridSpan w:val="2"/>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distribution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22,018</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4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3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and distribution expenses, which included e-commerce platform commissions, online advertising and logistics expenses (i.e., variable sales and distribution expense), decreased to $22.0 million for the six months ended June 30, 2025, from $28.4 million for the six months ended June 30, 2024. This decrease is primarily attributable to the decrease in the volume of products sold in the six months ended June 30, 2025, as our e-commerce platform commissions, online advertising, selling and logistics expenses decreased to $16.4 million in the six months ended June 30, 2025 as compared to $22.3 million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sales and distribution fixed costs (e.g., salary and office expenses) including stock-based compensation decreased to $5.6 million for the six months ended June 30, 2025, from $6.0 million for the six months ended June 30, 2024. This decrease is primarily attributable to lower stock-compensation expense of $0.9 million, lower headcount expense of $0.2 million, and lower miscellaneous office expense of $0.1 million, partially offset by higher restructuring costs of $0.8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percentage of net revenue, sales and distribution expenses increased to 63.1% for the six months ended June 30, 2025, from 58.9% for the six months ended June 30, 2024. E-commerce platform commissions, online advertising, selling and logistics expenses included within sales and distribution expenses, as a percentage of net revenue, were 47.2% for the six months ended June 30, 2025 as compared to 46.4% for the six months ended June 30, 2024. This increase in sales and distribution expenses as a percentage of revenue is primarily due to product mix and an increase in marketing costs.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General and Administrative Expenses </w:t>
      </w:r>
    </w:p>
    <w:p>
      <w:pPr>
        <w:pStyle w:val="TextBody"/>
        <w:bidi w:val="0"/>
        <w:spacing w:before="0" w:after="0"/>
        <w:ind w:left="0" w:right="0" w:hanging="0"/>
        <w:jc w:val="left"/>
        <w:rPr>
          <w:caps w:val="false"/>
          <w:smallCaps w:val="false"/>
        </w:rPr>
      </w:pPr>
      <w:r>
        <w:rPr>
          <w:caps w:val="false"/>
          <w:smallCaps w:val="false"/>
        </w:rPr>
        <w:t> </w:t>
      </w:r>
    </w:p>
    <w:tbl>
      <w:tblPr>
        <w:tblW w:w="6906" w:type="dxa"/>
        <w:jc w:val="left"/>
        <w:tblInd w:w="0" w:type="dxa"/>
        <w:tblLayout w:type="fixed"/>
        <w:tblCellMar>
          <w:top w:w="0" w:type="dxa"/>
          <w:left w:w="0" w:type="dxa"/>
          <w:bottom w:w="0" w:type="dxa"/>
          <w:right w:w="0" w:type="dxa"/>
        </w:tblCellMar>
      </w:tblPr>
      <w:tblGrid>
        <w:gridCol w:w="2990"/>
        <w:gridCol w:w="60"/>
        <w:gridCol w:w="198"/>
        <w:gridCol w:w="771"/>
        <w:gridCol w:w="95"/>
        <w:gridCol w:w="95"/>
        <w:gridCol w:w="198"/>
        <w:gridCol w:w="939"/>
        <w:gridCol w:w="60"/>
        <w:gridCol w:w="60"/>
        <w:gridCol w:w="142"/>
        <w:gridCol w:w="553"/>
        <w:gridCol w:w="60"/>
        <w:gridCol w:w="60"/>
        <w:gridCol w:w="60"/>
        <w:gridCol w:w="380"/>
        <w:gridCol w:w="185"/>
      </w:tblGrid>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71"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general and administrative expenses was primarily the result of a decrease of $2.8 million in stock-compensation expense, a decrease of $0.8 million in headcount expense, and a decrease of $0.8 million in other miscellaneous costs, partially offset by an increase of $0.4 million in restructuring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Interest expense, net </w:t>
      </w:r>
    </w:p>
    <w:p>
      <w:pPr>
        <w:pStyle w:val="TextBody"/>
        <w:bidi w:val="0"/>
        <w:spacing w:before="0" w:after="0"/>
        <w:ind w:left="0" w:right="0" w:hanging="0"/>
        <w:jc w:val="left"/>
        <w:rPr>
          <w:caps w:val="false"/>
          <w:smallCaps w:val="false"/>
        </w:rPr>
      </w:pPr>
      <w:r>
        <w:rPr>
          <w:caps w:val="false"/>
          <w:smallCaps w:val="false"/>
        </w:rPr>
        <w:t> </w:t>
      </w:r>
    </w:p>
    <w:tbl>
      <w:tblPr>
        <w:tblW w:w="5726" w:type="dxa"/>
        <w:jc w:val="left"/>
        <w:tblInd w:w="0" w:type="dxa"/>
        <w:tblLayout w:type="fixed"/>
        <w:tblCellMar>
          <w:top w:w="0" w:type="dxa"/>
          <w:left w:w="0" w:type="dxa"/>
          <w:bottom w:w="0" w:type="dxa"/>
          <w:right w:w="0" w:type="dxa"/>
        </w:tblCellMar>
      </w:tblPr>
      <w:tblGrid>
        <w:gridCol w:w="1670"/>
        <w:gridCol w:w="60"/>
        <w:gridCol w:w="276"/>
        <w:gridCol w:w="740"/>
        <w:gridCol w:w="132"/>
        <w:gridCol w:w="132"/>
        <w:gridCol w:w="276"/>
        <w:gridCol w:w="740"/>
        <w:gridCol w:w="60"/>
        <w:gridCol w:w="60"/>
        <w:gridCol w:w="167"/>
        <w:gridCol w:w="528"/>
        <w:gridCol w:w="80"/>
        <w:gridCol w:w="60"/>
        <w:gridCol w:w="60"/>
        <w:gridCol w:w="440"/>
        <w:gridCol w:w="245"/>
      </w:tblGrid>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11"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decrease in interest expense, net of $0.1 million is primarily relating to a decrease in interest expense of $0.2 million due to lower average borrowings and a decrease in interest income of $0.1 million compared to the prior period.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 in fair market value of warrant liabilities</w:t>
      </w:r>
    </w:p>
    <w:p>
      <w:pPr>
        <w:pStyle w:val="TextBody"/>
        <w:bidi w:val="0"/>
        <w:spacing w:before="0" w:after="0"/>
        <w:ind w:left="0" w:right="0" w:hanging="0"/>
        <w:jc w:val="left"/>
        <w:rPr>
          <w:caps w:val="false"/>
          <w:smallCaps w:val="false"/>
        </w:rPr>
      </w:pPr>
      <w:r>
        <w:rPr>
          <w:caps w:val="false"/>
          <w:smallCaps w:val="false"/>
        </w:rPr>
        <w:t> </w:t>
      </w:r>
    </w:p>
    <w:tbl>
      <w:tblPr>
        <w:tblW w:w="7888" w:type="dxa"/>
        <w:jc w:val="left"/>
        <w:tblInd w:w="0" w:type="dxa"/>
        <w:tblLayout w:type="fixed"/>
        <w:tblCellMar>
          <w:top w:w="0" w:type="dxa"/>
          <w:left w:w="0" w:type="dxa"/>
          <w:bottom w:w="0" w:type="dxa"/>
          <w:right w:w="0" w:type="dxa"/>
        </w:tblCellMar>
      </w:tblPr>
      <w:tblGrid>
        <w:gridCol w:w="3950"/>
        <w:gridCol w:w="60"/>
        <w:gridCol w:w="267"/>
        <w:gridCol w:w="620"/>
        <w:gridCol w:w="171"/>
        <w:gridCol w:w="128"/>
        <w:gridCol w:w="267"/>
        <w:gridCol w:w="845"/>
        <w:gridCol w:w="80"/>
        <w:gridCol w:w="60"/>
        <w:gridCol w:w="188"/>
        <w:gridCol w:w="507"/>
        <w:gridCol w:w="60"/>
        <w:gridCol w:w="60"/>
        <w:gridCol w:w="60"/>
        <w:gridCol w:w="380"/>
        <w:gridCol w:w="1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7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33" w:type="dxa"/>
            <w:gridSpan w:val="10"/>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8"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2025 and 2024 activity is related to the change in fair market value of the warrant liabilities from the common stock warrants from our March 2022 equity raise of capital. The change in fair value of warrant liabilities during the six months ending June 30, 2025 primarily relates to the reduced share price compared to the prior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Cash Flows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our cash flows for the six months ended June 30, 2025 and 2024:</w:t>
      </w:r>
    </w:p>
    <w:p>
      <w:pPr>
        <w:pStyle w:val="TextBody"/>
        <w:bidi w:val="0"/>
        <w:spacing w:before="0" w:after="0"/>
        <w:ind w:left="0" w:right="0" w:hanging="0"/>
        <w:jc w:val="left"/>
        <w:rPr>
          <w:caps w:val="false"/>
          <w:smallCaps w:val="false"/>
        </w:rPr>
      </w:pPr>
      <w:r>
        <w:rPr>
          <w:caps w:val="false"/>
          <w:smallCaps w:val="false"/>
        </w:rPr>
        <w:t> </w:t>
      </w:r>
    </w:p>
    <w:tbl>
      <w:tblPr>
        <w:tblW w:w="6672" w:type="dxa"/>
        <w:jc w:val="left"/>
        <w:tblInd w:w="0" w:type="dxa"/>
        <w:tblLayout w:type="fixed"/>
        <w:tblCellMar>
          <w:top w:w="0" w:type="dxa"/>
          <w:left w:w="0" w:type="dxa"/>
          <w:bottom w:w="0" w:type="dxa"/>
          <w:right w:w="0" w:type="dxa"/>
        </w:tblCellMar>
      </w:tblPr>
      <w:tblGrid>
        <w:gridCol w:w="4235"/>
        <w:gridCol w:w="60"/>
        <w:gridCol w:w="194"/>
        <w:gridCol w:w="846"/>
        <w:gridCol w:w="124"/>
        <w:gridCol w:w="93"/>
        <w:gridCol w:w="194"/>
        <w:gridCol w:w="846"/>
        <w:gridCol w:w="80"/>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c>
          <w:tcPr>
            <w:tcW w:w="80"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(8,287</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2,896</w:t>
            </w:r>
          </w:p>
        </w:tc>
        <w:tc>
          <w:tcPr>
            <w:tcW w:w="80"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used in 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w:t>
            </w:r>
          </w:p>
        </w:tc>
        <w:tc>
          <w:tcPr>
            <w:tcW w:w="12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exchange rate on cash</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448</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change in cash and restricted cash for the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(7,457</w:t>
            </w:r>
          </w:p>
        </w:tc>
        <w:tc>
          <w:tcPr>
            <w:tcW w:w="12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(Used in) Provided by Operating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$8.3 million for the six months ended June 30, 2025, resulting primarily from our net cash losses from operations of $6.7 million, outflow from working capital of $1.6 million from changes in accounts receivable, purchases of inventory and payments of accounts payable. The working capital outflow primarily relates to purchases of our air quality products for the summer season and intentional build up of certain products to avoid higher tariffs.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generated by operating activities was $2.9 million for the six months ended June 30, 2024, resulting primarily from our net cash losses from operations of $5.0 million, inflow from working capital of $7.9 million from changes in accounts receivable, purchases of inventory and payments of accounts payable. The working capital benefit primarily relates to the timing of payments for our seasonal air quality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Net Cash Used in Investing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net cash used in investing activities was $6 thousand, primarily related to the purchase of laptops during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net cash used in investing activities was $0.2 million primarily related to the purchase of a minority equity investment in 4th and Heart during the six months ending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 xml:space="preserve">Net Cash Provided by (Used in) 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2025, cash provided by financing activities of $0.4 million was primarily from the net borrowings for our MidCap credit facility of $0.2, and net proceeds from insurance financing of $0.3 million, partially offset by repayment of note payable to Smash of $0.1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2024, cash used by financing activities of $2.3 million was primarily from payment of insurance obligations of $0.3 million, net repayments for our MidCap credit facility of $1.6 million, and repayment of note payable to Smash of $0.4 million.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company in the early commercialization stage of its lifecycle, we are subject to inherent risks and uncertainties associated with the development of our enterprise. In this regard, substantially all of our efforts to date have been devoted to the development and sale of our products in the marketplace, which includes our investment in organic growth at the expense of short-term profitability, our investment in incremental growth through mergers &amp; acquisitions (“M&amp;A strategy”), our recruitment of management and technical staff, and raising capital to fund the development of our enterprise. As a result of these efforts, we have incurred significant losses and negative cash flows from operations since our inception and expect to continue to incur such losses, at a reduced level, and negative cash flows in the near term. However, we anticipate improvements over time as we work toward achieving a sustainable scale of profitability. We have also experienced declining revenues due to macroeconomic factors, including increased interest rates and reduced consumer discretionary spending, and other factors, and we intend to focus our efforts on a more limited number of products. In addition, our recent financial performance has been adversely impacted by inflationary pressures and reduced consumer spending.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results could be materially impacted by recent changes to U.S. trade policy, including the imposition and expansion of tariffs on imports,  specifically from China. A substantial portion of our products are sourced from China, and as such, the increased tariff rates have materially raised our cost of goods sold and have placed pressure on our margins. While we are actively pursuing mitigation strategies—including supplier negotiations, selective price adjustments, potential geographic diversification of sourcing and fixed cost reductions—there is significant uncertainty regarding the effectiveness of these mitigation efforts. Moreover, any future changes in tariff policy or implementation of additional trade barriers could further impact our business. These trade-related uncertainties, in conjunction with our existing financial condition, raise concern about our ability to remain in compliance with financial covenants under our credit agreements and may adversely impact our liquidity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order to execute our growth strategy, we have historically relied on outside capital through the issuance of equity, debt, and borrowings under financing arrangements (collectively “outside capital”) to fund our cost structure, and we expect to continue to rely on outside capital for the foreseeable future, specifically if we pursue material M&amp;A opportunities. While we believe we will eventually reach a level of profitability to sustain our operations, there can be no assurance we will be able to achieve such profitability or do so in a manner that does not require our continued reliance on outside capital. Moreover, while we have historically been successful in raising outside capital, there can be no assurance we will be able to continue to obtain outside capital in the future or do so on terms that are acceptable to us.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the date the accompanying Condensed Consolidated Financial Statements were issued (the “issuance date”), we evaluated the significance of the following adverse financial conditions in accordance with Accounting Standard Codification 205-40,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40" w:right="0" w:hanging="0"/>
        <w:jc w:val="both"/>
        <w:rPr/>
      </w:pPr>
      <w:r>
        <w:rPr/>
        <w:t xml:space="preserve">• </w:t>
      </w:r>
      <w:r>
        <w:rPr>
          <w:rFonts w:ascii="Times New Roman" w:hAnsi="Times New Roman"/>
          <w:sz w:val="20"/>
        </w:rPr>
        <w:t>Since our inception, we have incurred significant losses and used cash flows from operations to fund our enterprise. In this regard, during the six months ended June 30, 2025, we incurred a net loss of $8.8 million and used net cash flows from operations of $8.3 million. In addition, as of June 30, 2025, we had unrestricted cash of $10.5 million available to fund our operations and an accumulated deficit of $720.4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 xml:space="preserve">We are required to remain in compliance with certain financial covenants required by the MidCap Credit facility (See Note 7, </w:t>
      </w:r>
      <w:r>
        <w:rPr>
          <w:rFonts w:ascii="Times New Roman" w:hAnsi="Times New Roman"/>
          <w:i/>
          <w:caps w:val="false"/>
          <w:smallCaps w:val="false"/>
          <w:sz w:val="20"/>
        </w:rPr>
        <w:t>Credit Facility and Warrants</w:t>
      </w:r>
      <w:r>
        <w:rPr>
          <w:rFonts w:ascii="Times New Roman" w:hAnsi="Times New Roman"/>
          <w:caps w:val="false"/>
          <w:smallCaps w:val="false"/>
          <w:sz w:val="20"/>
        </w:rPr>
        <w:t>). We were in compliance with these financial covenants as of June 30, 2025, and expect to remain in compliance through at least September 30, 2026. However, if our mitigation strategies to address the impact of tariffs are unsuccessful,  we can provide no assurances that we will remain in compliance with our financial covenants. During February 2024, the Company amended its terms with Midcap Credit Facility extending the term until December 2026 and amending certain financial covenants with favorable terms. Further, absent of our ability to generate cash inflows from our operations or secure additional outside capital, we will be unable to remain in compliance with these financial covenants. In the event we are unable to remain in compliance with these financial covenants (or other non-financial covenants required by the MidCap Credit Facility), and we are unable to secure a waiver or forbearance, MidCap may, at its discretion, exercise any and all of its existing rights and remedies, which may include, among others, accelerating repayment of the outstanding borrowings and/or asserting its rights in the assets securing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As of the issuance date, we have no firm commitments to secure additional outside capital from lenders or investors. While we expect to continue to explore raising additional outside capital, specifically if we pursue material M&amp;A opportunities, there can be no assurance we will be able to obtain capital or do so on terms that are acceptable to us. Accordingly, absent our ability to generate cash inflows from our operations and/or secure additional outside capital in the near term, we may be unable to meet our obligations as they become due over the next twelve months beyond the issuance date.</w:t>
      </w:r>
    </w:p>
    <w:p>
      <w:pPr>
        <w:pStyle w:val="TextBody"/>
        <w:bidi w:val="0"/>
        <w:spacing w:before="0" w:after="0"/>
        <w:ind w:left="500" w:right="0" w:hanging="0"/>
        <w:jc w:val="both"/>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On May 14, 2025, the Company announced a fixed cost reduction plan, which includes a workforce reduction affecting approximately 20 employees. The Company expects to substantially complete this reduction by the end of the third quarter of 2025. In connection with this plan, the Company recognized restructuring charges of approximately $1.8 million, of which $1.0 million is recorded in Sales and Distribution expenses and $0.8 million is recorded in General and Administrative expenses, primarily related to severance, during the three and six months ended June 30, 2025. Severance payments are expected to be made through the second quarter of 2026. Combined with other vendor-related cost reductions, the plan is expected to generate annualized savings of approximately $5 to $6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Company's plan is to continue to closely monitor our operating forecast, to pursue additional sources of outside capital on terms that are acceptable to us, and to secure a waiver or forbearance from MidCap if we are unable to remain in compliance with one or more of the covenants required by the MidCap Credit Facility. If some or all of our plans prove unsuccessful, we may need to implement short-term changes to our operating plan, including but not limited to delaying expenditures, reducing investments in new products, or reducing our sale and distribution infrastructure. We may also need to seek long-term strategic alternatives, such as a significant curtailment of our operations, a sale of certain of our assets, a divestiture of certain product lines, a sale of the entire enterprise to strategic or financial investors, and/or allow our enterprise to become insolvent.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significant strides have been made in reducing our operating losses and strengthening our balance sheet, uncertainties persist in our business operations and the forecasting of our business. 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MidCap Credit Facility</w:t>
      </w:r>
      <w:r>
        <w:rPr>
          <w:rFonts w:ascii="Times New Roman" w:hAnsi="Times New Roman"/>
          <w:caps w:val="false"/>
          <w:smallCaps w:val="false"/>
          <w:sz w:val="20"/>
        </w:rPr>
        <w:t>—On December 22, 2021, we entered into a Credit Facility with MidCap, pursuant to which, among other things, (i) the lenders party thereto as lenders (the “Lenders”) agreed to provide a revolving credit facility in a principal amount of up to $40.0 million subject to a borrowing base consisting of, among other things, inventory and sales receivables (subject to certain reserves), and (ii) we agreed to issue to MidCap Funding XXVII Trust a warrant to purchase up to an aggregate of 16,667 shares of our common stock, in exchange for the Lenders extending loans and other extensions of credit to us under the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Prior to the February 2024 amendment, The Credit Facility contained a financial covenant that required us to maintain a minimum unrestricted cash balance of (a) $12.5 million during the period from February 1st through and including May 31st of each calendar year, and (b) $15.0 million at all other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23, 2024, the Company amended its asset backed credit facility with MidCap Financial Trust. The Credit Facility term has been extended to December 2026 and gives Aterian access to $17 million in current commitments which can be increased, subject to certain conditions, to $30.0 million. The Credit Facility extension reduces the minimum liquidity financial covenant from a peak of $15.0 million to $6.8 million of cash on hand and/or availability in the Credit Facility. The extension fee was less than $0.1 million. At our election, we may elect to comply with an alternative financial covenant that would require us to maintain a minimum borrowing availability under the credit facility of $5.0 million at all times. We currently do not anticipate electing the alternative financial covenant over the next twelve months and are in compliance with the minimum liquidity covenant as of the date these Condensed Consolidated Financial Statements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“Third Amendment Effective Date”) the Company entered into Amendment No. 3 (the “Amendment”) to that certain Credit and Security Agreement, dated as of December 22, 2021 (as amended from time to time, the “Credit Agreement”) by and among the Company, certain of its subsidiaries thereto, the lenders thereto (the “Lenders”) and Midcap Funding IV Trust, as administrative agent. Capitalized terms used in this section and not otherwise defined shall have the meanings assigned in the Credit Agreement. Material changes contained in the Amendment include, among other things, adding repurchase of the Company’s common stock of up to $1.5 million per year, consisting of up to $1.5 million in repurchases allowed during the period from March 25, 2025 through December 22, 2025, and up to an additional $1.5 million allowed during the period from December 23, 2025 through the maturity date, subject to certain liquidity and compliance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outstanding balance on the MidCap credit facility as of June 30, 2025 and December 31, 2024 was $7.2 million and $6.9 million, respectively. The Company had $0.2 million available on the Midcap credit facility as of June 30, 2025. We are in compliance with the financial covenants contained within the Credit Agreement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Share Repurchase—</w:t>
      </w:r>
      <w:r>
        <w:rPr>
          <w:rFonts w:ascii="Times New Roman" w:hAnsi="Times New Roman"/>
          <w:caps w:val="false"/>
          <w:smallCaps w:val="false"/>
          <w:sz w:val="20"/>
        </w:rPr>
        <w:t>On March 14, 2025, the Board of Directors authorized a share repurchase program to acquire up to $3.0 million of the Company’s common stock. The Company may purchase common stock on the open market, through privately negotiated transactions, or by other means including through the use of trading plans intended to qualify under Rule 10b-18 under the Securities Exchange Act of 1934, as amended, in accordance with applicable securities laws and other restrictions. The timing and total amount of stock repurchases will depend upon business, economic and market conditions, corporate and regulatory requirements, prevailing stock prices, and other considerations. The share repurchase program will have a term of 24 months and may be suspended or discontinued at any time and does not obligate the company to acquire any amount of common stock. The objective of this program is to repurchase shares of common stock opportunistically when management believes that the Company’s stock is trading below the Company’s determination of long-term fair value. During the three months ended June 30, 2025 and through August 12, 2025, the Company did not repurchase any shares under its authorized share repurchase program. On May 2, 2025, the Company temporarily suspended its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Trade Policy—</w:t>
      </w:r>
      <w:r>
        <w:rPr>
          <w:rFonts w:ascii="Times New Roman" w:hAnsi="Times New Roman"/>
          <w:caps w:val="false"/>
          <w:smallCaps w:val="false"/>
          <w:sz w:val="20"/>
        </w:rPr>
        <w:t>In the first quarter of 2025, the U.S. government announced a series of new tariff policies affecting imports from several countries, including China. While these actions impact a range of global trade flows, the new tariffs targeting imports from China are the most significant for our business. While the ultimate implications of the tariffs remain unclear, they could materially increase our import costs and potentially lead to higher prices that reduce consumer demand​. We are monitoring the situation closely​ and are proactively evaluating strategies to mitigate the impact on our supply chain and margins​. These efforts include exploring alternative sourcing outside of China, working with our suppliers to manage cost increases, and implementing price increases.  These actions that we take may not fully offset the impact of tariffs and, as a result, our revenues, gross margins and overall financial performance may be materially impacted.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Non-GAAP Financial Measures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condensed consolidated financial statements and the other financial data included in this Quarterly Report have been prepared in a manner that complies, in all material respects, with generally accepted accounting principles in the U.S. (“GAAP”). However, for the reasons discussed below, we have presented certain non-GAAP measures herein.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presented the following non-GAAP measures to assist investors in understanding our core net operating results on an on-going basis: (i) Contribution margin; (ii) Contribution margin as a percentage of net revenue; (iii) EBITDA (iv) Adjusted EBITDA; and (v) Adjusted EBITDA as a percentage of net revenue. These non-GAAP financial measures may also assist investors in making comparisons of our core operating results with those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used herein, Contribution margin represents gross profit less e-commerce platform commissions, online advertising, selling and logistics expenses (included in sales and distribution expenses). As used herein, Contribution margin as a percentage of net revenue represents Contribution margin divided by net revenue. As used herein, EBITDA represents net loss plus depreciation and amortization, interest expense, net provision (benefit) for income taxes. As used herein, Adjusted EBITDA represents EBITDA plus stock-based compensation expense, changes in fair-market value of warrant liabilities, restructuring expenses, and other expenses, net. As used herein, Adjusted EBITDA as a percentage of net revenue represents Adjusted EBITDA divided by net revenue. Contribution margin, EBITDA and Adjusted EBITDA do not represent and should not be considered as alternatives to loss from operations or net loss, as determined under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Contribution margin and Contribution margin as a percentage of net revenue, as we believe each of these measures provides an additional metric to evaluate our operations and, when considered with both our GAAP results and the reconciliation to gross profit, provides useful supplemental information for investors. Specifically, Contribution margin and Contribution margin as a Non-GAAP Financial Measure percentage of net revenue are two of our key metrics in running our business. All product decisions made by us, from the approval of launching a new product and to the liquidation of a product at the end of its life cycle, are measured primarily from Contribution margin and/or Contribution margin as a percentage of net revenue. Further, we believe these measures provide improved transparency to our stockholders to determine the performance of our products prior to fixed costs as opposed to referencing gross profit alone.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reconciliation to calculate contribution margin, we add e-commerce platform commissions, online advertising, selling and logistics expenses (“sales and distribution variable expense”) to gross profit to inform users of our financial statements of what our product profitability is at each period prior to fixed costs (such as sales and distribution expenses such as salaries as well as general and administrative expenses). By excluding these fixed costs, we believe this allows users of our financial statements to understand our products performance and allows them to measure our products performance over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present EBITDA, Adjusted EBITDA and Adjusted EBITDA as a percentage of net revenue because we believe each of these measures provides an additional metric to evaluate our operations and, when considered with both our GAAP results and the reconciliation to net loss, provide useful supplemental information for investors. We use these measures with financial measures prepared in accordance with GAAP, such as sales and gross margins, to assess our historical and prospective operating performance, to provide meaningful comparisons of operating performance across periods, to enhance our understanding of our operating performance and to compare our performance to that of our peers and competitors. We believe EBITDA, Adjusted EBITDA and Adjusted EBITDA as a percentage of net revenue are useful to investors in assessing the operating performance of our business without the effect of non-cash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Contribution margin, Contribution margin as a percentage of net revenue, EBITDA, Adjusted EBITDA and Adjusted EBITDA as a percentage of net revenue should not be considered in isolation or as alternatives to net loss, loss from operations or any other measure of financial performance calculated and prescribed in accordance with GAAP. Neither EBITDA, Adjusted EBITDA or Adjusted EBITDA as a percentage of net revenue should be considered a measure of discretionary cash available to us to invest in the growth of our business. Our Contribution margin, Contribution margin as a percentage of net revenue, EBITDA, Adjusted EBITDA and Adjusted EBITDA as a percentage of net revenue may not be comparable to similar titled measures in other organizations because other organizations may not calculate Contribution margin, Contribution margin as a percentage of net revenue, EBITDA, Adjusted EBITDA or Adjusted EBITDA as a percentage of net revenue in the same manner as we do. Our presentation of Contribution margin and Adjusted EBITDA should not be construed as an inference that our future results will be unaffected by the expenses that are excluded from such terms or by unusual or non-recurring items.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 that EBITDA, Adjusted EBITDA and Adjusted EBITDA as a percentage of net revenue, have limitations as analytical financial measures. For example, neither EBITDA nor Adjusted EBITDA reflects: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our capital expenditures or future requirements for capital expenditures or mergers and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interest expense or the cash requirements necessary to service interest expense or principal payments, associated with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depreciation and amortization, which are non-cash charges, although the assets being depreciated and amortized will likely have to be replaced in the future, or any cash requirements for the replacement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cash requirements for our working capital needs;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changes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Adjusted EBITDA excludes non-cash stock-based compensation expense, which is and is expected to remain a key element of our overall long-term incentive compensation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recognize that Contribution margin and Contribution margin as a percentage of net revenue have limitations as analytical financial measures. For example, Contribution margin does not reflect: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general and administrative expense necessary to operate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xml:space="preserve">• </w:t>
      </w:r>
      <w:r>
        <w:rPr>
          <w:rFonts w:ascii="Times New Roman" w:hAnsi="Times New Roman"/>
          <w:caps w:val="false"/>
          <w:smallCaps w:val="false"/>
          <w:sz w:val="20"/>
        </w:rPr>
        <w:t>the fixed costs portion of our sales and distribution expenses including stock-based compensation expense;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0" w:hanging="0"/>
        <w:jc w:val="both"/>
        <w:rPr>
          <w:caps w:val="false"/>
          <w:smallCaps w:val="false"/>
        </w:rPr>
      </w:pPr>
      <w:r>
        <w:rPr>
          <w:caps w:val="false"/>
          <w:smallCaps w:val="false"/>
        </w:rPr>
        <w:t>• </w:t>
      </w:r>
      <w:r>
        <w:rPr>
          <w:rFonts w:ascii="Times New Roman" w:hAnsi="Times New Roman"/>
          <w:caps w:val="false"/>
          <w:smallCaps w:val="false"/>
          <w:sz w:val="20"/>
        </w:rPr>
        <w:t>warrant liabilities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Contribution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Contribution margin to gross profit and Contribution margin as a percentage of net revenue to gross profit as a percentage of net revenue, which are the most directly comparable financial measures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58"/>
        <w:gridCol w:w="60"/>
        <w:gridCol w:w="165"/>
        <w:gridCol w:w="784"/>
        <w:gridCol w:w="245"/>
        <w:gridCol w:w="79"/>
        <w:gridCol w:w="165"/>
        <w:gridCol w:w="864"/>
        <w:gridCol w:w="185"/>
        <w:gridCol w:w="60"/>
        <w:gridCol w:w="149"/>
        <w:gridCol w:w="779"/>
        <w:gridCol w:w="222"/>
        <w:gridCol w:w="71"/>
        <w:gridCol w:w="149"/>
        <w:gridCol w:w="779"/>
        <w:gridCol w:w="191"/>
      </w:tblGrid>
      <w:tr>
        <w:trPr/>
        <w:tc>
          <w:tcPr>
            <w:tcW w:w="5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91" w:type="dxa"/>
            <w:tcBorders/>
            <w:shd w:fill="FFFFFF" w:val="clear"/>
            <w:vAlign w:val="center"/>
          </w:tcPr>
          <w:p>
            <w:pPr>
              <w:pStyle w:val="TableContents"/>
              <w:bidi w:val="0"/>
              <w:spacing w:before="0" w:after="283"/>
              <w:jc w:val="left"/>
              <w:rPr/>
            </w:pPr>
            <w:r>
              <w:rPr/>
              <w:t> </w:t>
            </w:r>
          </w:p>
        </w:tc>
      </w:tr>
      <w:tr>
        <w:trPr/>
        <w:tc>
          <w:tcPr>
            <w:tcW w:w="5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2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9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91" w:type="dxa"/>
            <w:tcBorders/>
            <w:shd w:fill="FFFFFF" w:val="clear"/>
            <w:vAlign w:val="center"/>
          </w:tcPr>
          <w:p>
            <w:pPr>
              <w:pStyle w:val="TableContents"/>
              <w:bidi w:val="0"/>
              <w:spacing w:before="0" w:after="283"/>
              <w:jc w:val="left"/>
              <w:rPr/>
            </w:pPr>
            <w:r>
              <w:rPr/>
              <w:t> </w:t>
            </w:r>
          </w:p>
        </w:tc>
      </w:tr>
      <w:tr>
        <w:trPr/>
        <w:tc>
          <w:tcPr>
            <w:tcW w:w="52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96"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percentages)</w:t>
            </w:r>
          </w:p>
        </w:tc>
        <w:tc>
          <w:tcPr>
            <w:tcW w:w="191" w:type="dxa"/>
            <w:tcBorders/>
            <w:shd w:fill="FFFFFF" w:val="clear"/>
            <w:vAlign w:val="center"/>
          </w:tcPr>
          <w:p>
            <w:pPr>
              <w:pStyle w:val="TableContents"/>
              <w:bidi w:val="0"/>
              <w:spacing w:before="0" w:after="283"/>
              <w:jc w:val="left"/>
              <w:rPr/>
            </w:pPr>
            <w:r>
              <w:rPr/>
              <w:t> </w:t>
            </w:r>
          </w:p>
        </w:tc>
      </w:tr>
      <w:tr>
        <w:trPr/>
        <w:tc>
          <w:tcPr>
            <w:tcW w:w="5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10,566</w:t>
            </w:r>
          </w:p>
        </w:tc>
        <w:tc>
          <w:tcPr>
            <w:tcW w:w="24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19,990</w:t>
            </w:r>
          </w:p>
        </w:tc>
        <w:tc>
          <w:tcPr>
            <w:tcW w:w="22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30,060</w:t>
            </w:r>
          </w:p>
        </w:tc>
        <w:tc>
          <w:tcPr>
            <w:tcW w:w="191" w:type="dxa"/>
            <w:tcBorders/>
            <w:shd w:fill="CCEEFF" w:val="clear"/>
            <w:vAlign w:val="center"/>
          </w:tcPr>
          <w:p>
            <w:pPr>
              <w:pStyle w:val="TableContents"/>
              <w:bidi w:val="0"/>
              <w:spacing w:before="0" w:after="283"/>
              <w:jc w:val="left"/>
              <w:rPr/>
            </w:pPr>
            <w:r>
              <w:rPr/>
              <w:t> </w:t>
            </w:r>
          </w:p>
        </w:tc>
      </w:tr>
      <w:tr>
        <w:trPr/>
        <w:tc>
          <w:tcPr>
            <w:tcW w:w="5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79"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E-commerce platform commissions, online advertising, selling and logistics expenses</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(16,421</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(22,345</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w:t>
            </w:r>
          </w:p>
        </w:tc>
        <w:tc>
          <w:tcPr>
            <w:tcW w:w="24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3,569</w:t>
            </w:r>
          </w:p>
        </w:tc>
        <w:tc>
          <w:tcPr>
            <w:tcW w:w="22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7,715</w:t>
            </w:r>
          </w:p>
        </w:tc>
        <w:tc>
          <w:tcPr>
            <w:tcW w:w="191" w:type="dxa"/>
            <w:tcBorders/>
            <w:shd w:fill="FFFFFF" w:val="clear"/>
            <w:vAlign w:val="center"/>
          </w:tcPr>
          <w:p>
            <w:pPr>
              <w:pStyle w:val="TableContents"/>
              <w:bidi w:val="0"/>
              <w:spacing w:before="0" w:after="283"/>
              <w:jc w:val="left"/>
              <w:rPr/>
            </w:pPr>
            <w:r>
              <w:rPr/>
              <w:t> </w:t>
            </w:r>
          </w:p>
        </w:tc>
      </w:tr>
      <w:tr>
        <w:trPr/>
        <w:tc>
          <w:tcPr>
            <w:tcW w:w="525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as a percentage of net revenue</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22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w:t>
            </w:r>
          </w:p>
        </w:tc>
        <w:tc>
          <w:tcPr>
            <w:tcW w:w="1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Contribution margin as a percentage of net revenue</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7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2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a reconciliation of EBITDA and Adjusted EBITDA to net loss, which is the most directly comparable financial measure presented in accordance with GAAP:</w:t>
      </w:r>
    </w:p>
    <w:p>
      <w:pPr>
        <w:pStyle w:val="TextBody"/>
        <w:bidi w:val="0"/>
        <w:spacing w:before="0" w:after="0"/>
        <w:ind w:left="0" w:right="0" w:hanging="0"/>
        <w:jc w:val="left"/>
        <w:rPr>
          <w:caps w:val="false"/>
          <w:smallCaps w:val="false"/>
        </w:rPr>
      </w:pPr>
      <w:r>
        <w:rPr>
          <w:caps w:val="false"/>
          <w:smallCaps w:val="false"/>
        </w:rPr>
        <w:t> </w:t>
      </w:r>
    </w:p>
    <w:tbl>
      <w:tblPr>
        <w:tblW w:w="9425" w:type="dxa"/>
        <w:jc w:val="left"/>
        <w:tblInd w:w="0" w:type="dxa"/>
        <w:tblLayout w:type="fixed"/>
        <w:tblCellMar>
          <w:top w:w="0" w:type="dxa"/>
          <w:left w:w="0" w:type="dxa"/>
          <w:bottom w:w="0" w:type="dxa"/>
          <w:right w:w="0" w:type="dxa"/>
        </w:tblCellMar>
      </w:tblPr>
      <w:tblGrid>
        <w:gridCol w:w="3980"/>
        <w:gridCol w:w="60"/>
        <w:gridCol w:w="193"/>
        <w:gridCol w:w="841"/>
        <w:gridCol w:w="378"/>
        <w:gridCol w:w="92"/>
        <w:gridCol w:w="193"/>
        <w:gridCol w:w="841"/>
        <w:gridCol w:w="245"/>
        <w:gridCol w:w="60"/>
        <w:gridCol w:w="174"/>
        <w:gridCol w:w="762"/>
        <w:gridCol w:w="342"/>
        <w:gridCol w:w="83"/>
        <w:gridCol w:w="174"/>
        <w:gridCol w:w="762"/>
        <w:gridCol w:w="245"/>
      </w:tblGrid>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7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0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3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40" w:type="dxa"/>
            <w:gridSpan w:val="14"/>
            <w:tcBorders/>
            <w:shd w:fill="FFFFFF" w:val="clear"/>
            <w:vAlign w:val="center"/>
          </w:tcPr>
          <w:p>
            <w:pPr>
              <w:pStyle w:val="TableContents"/>
              <w:bidi w:val="0"/>
              <w:spacing w:before="0" w:after="0"/>
              <w:jc w:val="center"/>
              <w:rPr>
                <w:rFonts w:ascii="Times New Roman;Times;serif" w:hAnsi="Times New Roman;Times;serif"/>
                <w:sz w:val="20"/>
              </w:rPr>
            </w:pPr>
            <w:r>
              <w:rPr>
                <w:rFonts w:ascii="Times New Roman;Times;serif" w:hAnsi="Times New Roman;Times;serif"/>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(4,860</w:t>
            </w:r>
          </w:p>
        </w:tc>
        <w:tc>
          <w:tcPr>
            <w:tcW w:w="3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(8,756</w:t>
            </w:r>
          </w:p>
        </w:tc>
        <w:tc>
          <w:tcPr>
            <w:tcW w:w="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762"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37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3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37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3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37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w:t>
            </w:r>
          </w:p>
        </w:tc>
        <w:tc>
          <w:tcPr>
            <w:tcW w:w="3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EBITDA</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(4,223</w:t>
            </w:r>
          </w:p>
        </w:tc>
        <w:tc>
          <w:tcPr>
            <w:tcW w:w="3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(7,516</w:t>
            </w:r>
          </w:p>
        </w:tc>
        <w:tc>
          <w:tcPr>
            <w:tcW w:w="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w:t>
            </w:r>
          </w:p>
        </w:tc>
        <w:tc>
          <w:tcPr>
            <w:tcW w:w="37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3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market value of warrant liabilities</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3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expense(1)</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378"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34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24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378"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9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34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w:t>
            </w:r>
          </w:p>
        </w:tc>
        <w:tc>
          <w:tcPr>
            <w:tcW w:w="24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(2,184</w:t>
            </w:r>
          </w:p>
        </w:tc>
        <w:tc>
          <w:tcPr>
            <w:tcW w:w="3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ind w:left="0" w:right="0" w:hanging="0"/>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w:t>
            </w:r>
          </w:p>
        </w:tc>
        <w:tc>
          <w:tcPr>
            <w:tcW w:w="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as a percentage of net revenue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37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34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7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Adjusted EBITDA as a percentage of net revenue</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3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3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7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2"/>
        <w:gridCol w:w="9923"/>
      </w:tblGrid>
      <w:tr>
        <w:trPr/>
        <w:tc>
          <w:tcPr>
            <w:tcW w:w="60"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include non-recurring employee severance costs relating to the Company reorganization executed during the three and six months ended June 30, 2025 and 2024.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Critical Accounting Policies and Use of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discussed in our Form 10-K for the fiscal year ended December 31, 2024, the discussion and analysis of our financial condition and results of operations are based upon our consolidated financial statements, which have been prepared in conformity with accounting principles generally accepted in the United States of America (“US GAAP”). The preparation of these consolidated financial statements requires us to make estimates and assumptions that affect the amounts of assets, liabilities, revenues and expenses reported in those consolidated financial statements. These judgments can be subjective and complex, and consequently, actual results could differ from those estimates. Our most critical accounting policies and estimates relate to revenue recognition; leases; impairment of intangible assets; impairment of long-lived assets; and income taxes (including uncertain tax positions). There have been no significant changes to the Company’s accounting policies subsequent to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Intangible asset valuation</w:t>
      </w:r>
      <w:r>
        <w:rPr>
          <w:rFonts w:ascii="Times New Roman" w:hAnsi="Times New Roman"/>
          <w:caps w:val="false"/>
          <w:smallCaps w:val="false"/>
          <w:sz w:val="20"/>
        </w:rPr>
        <w:t>—We review long-lived assets for impairment when performance expectations, events, or changes in circumstances indicate that the asset's carrying value may not be recoverable. The evaluation is performed at the lowest level of identifiable cash flows by comparing the carrying value of the asset group to the undiscounted cash flows. If the evaluation indicates that the carrying amount of the assets may not be recoverable, any potential impairment is measured based upon the fair value of the related asset or asset group as determined by an appropriate market appraisal or other valuation technique.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and six months ended June 30, 2025, the implementation of new tariffs raised concerns about potential negative effects on the Company’s revenue and profitability. As a result, the Company identified a triggering event and performed a recoverability test for the relevant asset groups. Based on this assessment, the Company concluded that the undiscounted future cash flows expected to be generated from these asset groups exceeded their carrying amounts. Accordingly, no impairment was recognized as of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triggering events to test intangibles for impairment loss during the three and six months ended June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will continue to closely monitor actual results versus expectations as well as whether and to what extent any significant changes in current events or conditions result in corresponding changes to our expectations about future estimated cash flows. If our adjusted expectations of the operating results do not materialize, we may be required to record intangible impairment charges, which may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believe our conclusions regarding the estimates of recoverability of our asset groupings are appropriate, these estimates are subject to uncertainty and by nature include judgments and estimates regarding various factors. These factors include the rate and extent of growth in the markets that our asset groups serve, the realization of future sales price and volume increases, fluctuations in exchange rates, fluctuations in price and availability of key raw materials, fluctuations in discount rate, and future operating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2" w:name="qqd"/>
      <w:bookmarkEnd w:id="12"/>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3" w:name="controls"/>
      <w:bookmarkEnd w:id="13"/>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the evaluation of our disclosure controls and procedures as of June 30, 2025, our Chief Executive Officer and Chief Financial Officer concluded that our disclosure controls and procedures were effective as of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that occurred during the six months ended June 30, 2025, that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4" w:name="part2"/>
      <w:bookmarkEnd w:id="14"/>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5" w:name="legal"/>
      <w:bookmarkEnd w:id="15"/>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are party to various actions and claims arising in the normal course of business. We do not believe that the final outcome of these matters will have a material adverse effect on our financial position or results of operations. In addition, we maintain what we believe is adequate insurance coverage to further mitigate risk. However, no assurance can be given that the final outcome of such proceedings will not materially impact our financial condition or results of operations. Further, no assurance can be given that the amount or scope of existing insurance coverage will be sufficient to cover losses arising from such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risk"/>
      <w:bookmarkEnd w:id="16"/>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carefully consider the factors discussed in Part I, Item 1A. “Risk Factors” in our Annual Report and this Quarterly Report on Form 10-Q, which could materially affect our business, financial condition, cash flows or future results. The risks described in our Annual Report and this Quarterly Report on Form 10-Q are not the only risks facing our company. Additional risks and uncertainties not currently known to us or that we currently deem to be immaterial also may materially adversely affect our business, financial condition or future results. Except as presented below, there have been no material changes from the risk factors associated with our business previously disclosed in our Annual Report.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1A. Risk Factors.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historically operated at a loss and we may never achieve or sustain continuous profitability or positive cash flows. Further our independent registered public accounting firm included an explanatory paragraph in its report on our consolidated financial statements as of and for the year ended December 31, 2024, that raised substantial doubt about our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experienced significant after-tax losses for the three and six months ended June 30, 2025 and 2024. In addition, our costs have increased historically and may increase further in future periods, which could negatively affect our future operating results and ability to achieve and sustain long-term ongoing profitability. For example, we may need to continue to expend substantial financial and other resources on the ideation, sourcing and development of products, our technology infrastructure, research and development, sales and marketing, international expansion and general administration, including expenses related to being a public company. We have had to rely on a combination of cash flow from operations and new capital in order to sustain our business. Despite the fact that we have raised significant capital, there can be no assurance that we will ever achieve long-term continuous profitability. Even if we do, there can be no assurance that we will be able to maintain or increase profitability on a quarterly or annual basis. Failure to achieve or sustain profitability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growth strategy has resulted in operating losses and negative cash flows from operations that raise substantial doubt about our ability to continue as a going concern. Our independent registered public accounting firm included an explanatory paragraph in its report on our consolidated financial statements as of and for the year ended December 31, 2024, that raised substantial doubt about our ability to continue as a going concern. If we are unable to continue as a going concern or maintain our financial covenants with our lenders, we may have to make significant changes to our operating plan, such as delay expenditures, reduce investments in new products, reduce our sale and distribution infrastructure, or significantly reduce our business. Further, if we are unable to continue as a going concern, we may be forced to liquidate our assets and the values we receive for our assets in liquidation or dissolution could be significantly lower than the values reflected in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efforts to grow our business through new products, marketplace and geographic expansion may not be successful and may place a significant strain on our management and operational, financial and other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long-term success depends on our ability to develop and commercialize a continuing stream of new products, to expand both to new marketplaces and geographies and to leverage new technologies we may incorporate into our business. We have entered and expect to continue to enter new product categories and both new marketplaces and geographies for which we have limited or no experience. In part we rely on Amazon’s global reviews program for success in our international expansion. If that program were to be limited, reduced or discontinued, our international expansion would be negatively affected. We also in part rely on our ability to include new products as variations to existing listings on Amazon. If that strategy were no longer possible for whatever reason, our ability to launch new products could be materially affected. That strategy could also have unanticipated or unexpected negative consequences. Our efforts to grow our business place significant strain on our management, personnel, operations, systems, financial resources, and internal financial control and reporting functions, among other things. We have limited personnel and resources and have reduced headcount significantly in recent years. In order to accomplish our growth goals, our team is required to focus on such growth ventures and reallocate their time and other resources, creating risk in all aspects of our business. We face the risk that we will be unable to disrupt incumbents and that our competitors will introduce new and better products that compete with us. There are numerous uncertainties inherent in successfully developing and commercializing new products on a continuing basis and new product launches may not deliver expected growth in sales or operating results. Any new product that we develop and market may not be introduced in a timely or cost-effective manner, may contain defects, errors, quality or other issues, or may not achieve the market acceptance necessary to generate sufficient revenue or may never become profitable. If we are unable to develop and introduce a continuing stream of competitive new products, it may have an adverse effect on our business, operating results, financial condition, and cash flows. Our failure to successfully execute on our growth initiatives can negatively impact our financial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attract, retain or motivate key personnel,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success depends on our continuing ability to attract, motivate and retain well qualified employees. Competition for well-qualified employees in all aspects of our business is intense globally. The loss of one or more of our key personnel or our inability to promptly identify a suitable successor to a key role, including through a succession plan, could have an adverse effect on our business. Further, the Company recently announced a restructuring whereby a number of employees positions with the Company were terminated, which could have a negative effect on our ability to retain and motivate our personnel.  Each of our executive officers, key personnel and other employees could terminate their employment relationship with us at any time. Moreover, we rely on stock-based compensation as a method to attract, retain and motivate our employees. If our common stock continues to be volatile or depressed, we may be unable to attract, retain and motivate employees, and if this occurs, it could have a material adverse effect on our business, operating results, financial condition, and cash flows. We do not currently maintain key person life insurance policies on any member of our senior management team or any other key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the Litigation and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Claims, litigation, government investigations, product liability and recalls, and other proceedings may adversely affect our business, operating results, financial condition,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from time to time, involved in various claims, litigation matters and regulatory proceedings that could have a material adverse effect on us. These matters may include personal injury and other tort claims, deceptive trade practice disputes, intellectual property disputes, product recalls, contract disputes, employment and tax matters and other proceedings and litigation, including class actions lawsuits. It is not possible to predict the outcome of pending or future litigation and any such claims, with or without merit, could be time consuming and expensive, and may require the Company to incur substantial costs and divert the resources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exposure to product liability and other claims in the event that one of our products is alleged to have resulted in property damage, bodily injury or other adverse effects. In addition, if we are required to, or voluntarily, repair, replace or refund one or more of our products, it could have a material impact on our business, operating results, financial condition and reputation.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financial condition, and cash flows. In addition, it is possible that a resolution of any claim, including as a result of a settlement, could require us to make substantial future payments, prevent us from offering certain products or services, or require us to change our business practices each of which could have a material adverse effect on our business, operating results, financial condition, and cash flows.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 government trade actions could have a material adverse effect on our business, financial position,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 the past several years, the U.S. government has taken a number of trade actions that impact or could impact our operations, including imposing tariffs on certain goods imported into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U.S. government has recently implemented significant tariff measures on several major trading partners, including China, Canada, the European Union, and numerous other countries. As of August 12, 2025, a 10% baseline reciprocal tariff applies to nearly all imports, in addition to country-specific rates. Tariffs on China were temporarily reduced to approximately 30% from May 14, 2025, pursuant to a 90-day truce, which has now been extended an additional 90 days through November 9, 2025; absent a new agreement, higher rates may be reinstated thereafter. Effective August 1, 2025, tariffs on Canada increased to 35% for goods not covered by the United States-Mexico-Canada Agreement (“USMCA”). The EU has negotiated a reduced tariff rate of 15% on its exports to the U.S., which remains subject to change. Many other countries are now subject to increased tariffs, in some cases as high as 50%, and these rates are subject to change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tariff actions, along with the potential for retaliatory measures, create uncertainty and may increase our product costs, disrupt our supply chain, and adversely affect our competitive position. In particular, continued or escalated trade and political tensions with China or other key trading partners could result in retaliatory restrictions that impair our ability to source products and components from contract manufacturers or service providers operating in those countries. Any sustained increase in tariffs, or the imposition of additional trade barriers, could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tariff measures described above, changes in U.S. or foreign trade policy may create ongoing uncertainty in international trade relations. Future actions by the United States or other governments — including the imposition, increase, or extension of tariffs, quotas, or other trade restrictions, or changes to existing trade agreements or policies — could occur at any time and without notice. Any such actions, whether unilateral or in response to geopolitical or economic developments, could reduce demand for our products, increase our costs, disrupt our supply chain, reduce our profitability, or otherwise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continually evaluating the impact of the current and any possible new tariffs on our supply chain, costs and sales and are considering strategies to mitigate such impact, including reviewing sourcing options and working with our suppliers. We can provide no assurance that any strategies we implement to mitigate the impact of such tariffs or other trade actions will be successful or that any newly sourced products will be of the same quality of those previously sourced elsewhere. Given the uncertainty regarding the scope and duration of these trade actions by the U.S. government or other countries, as well as the potential for additional trade actions, the impact on our operations and results remains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the Ownership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and trading volume of our common stock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 price and trading volume of our common stock has at times experienced substantial price volatility. There has been, and we expect will continue to be, significant volatility in the market price and trading volume of our common stock. In certain instances, these fluctuations have been unrelated or disproportionate to our operating performance, financial condition, and cash flows. In addition, the market price of our common stock may be, and we believe has been, significantly impacted by investors covering large short positions in our common stock. In addition, there are many other factors that have caused and may continue to cause the market price of our common stock to fluctuate, including: our announcement of our Board’s temporary suspension of our share repurchase program, actual or anticipated variations in our quarterly operating results, or the operating results, financial condition, and cash flows of companies perceived to be similar to us; deterioration and decline in general economic, industry and/or market conditions; changes in estimates of our financial results or recommendations by equity research analysts, including any decision by equity research analysts to initiate or discontinue coverage; announcements by us or our competitors of significant acquisitions, strategic alliances or joint ventures; and changes in our capital structure, such as future issuances of securities or the incurrence of additional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7" w:name="unregistered"/>
      <w:bookmarkEnd w:id="17"/>
      <w:r>
        <w:rPr>
          <w:rFonts w:ascii="Times New Roman" w:hAnsi="Times New Roman"/>
          <w:b/>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8" w:name="defaults"/>
      <w:bookmarkEnd w:id="18"/>
      <w:r>
        <w:rPr>
          <w:rFonts w:ascii="Times New Roman" w:hAnsi="Times New Roman"/>
          <w:b/>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9" w:name="minesafety"/>
      <w:bookmarkEnd w:id="1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0" w:name="other"/>
      <w:bookmarkEnd w:id="20"/>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Rule </w:t>
      </w:r>
      <w:r>
        <w:rPr>
          <w:rStyle w:val="Emphasis"/>
          <w:rFonts w:ascii="Times New Roman" w:hAnsi="Times New Roman"/>
          <w:caps w:val="false"/>
          <w:smallCaps w:val="false"/>
          <w:sz w:val="20"/>
        </w:rPr>
        <w:t>10b</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Plans.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xml:space="preserve">, no director or officer of the Company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each term is defined in Item </w:t>
      </w:r>
      <w:r>
        <w:rPr>
          <w:rStyle w:val="Emphasis"/>
          <w:rFonts w:ascii="Times New Roman" w:hAnsi="Times New Roman"/>
          <w:caps w:val="false"/>
          <w:smallCaps w:val="false"/>
          <w:sz w:val="20"/>
        </w:rPr>
        <w:t>408</w:t>
      </w:r>
      <w:r>
        <w:rPr>
          <w:rFonts w:ascii="Times New Roman" w:hAnsi="Times New Roman"/>
          <w:caps w:val="false"/>
          <w:smallCaps w:val="false"/>
          <w:sz w:val="20"/>
        </w:rPr>
        <w:t>(a)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21" w:name="exhibits"/>
      <w:bookmarkEnd w:id="21"/>
      <w:r>
        <w:rPr>
          <w:rFonts w:ascii="Times New Roman" w:hAnsi="Times New Roman"/>
          <w:b/>
          <w:caps w:val="false"/>
          <w:smallCaps w:val="false"/>
          <w:sz w:val="20"/>
        </w:rPr>
        <w:t xml:space="preserve">6.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
        <w:gridCol w:w="60"/>
        <w:gridCol w:w="60"/>
        <w:gridCol w:w="6422"/>
        <w:gridCol w:w="60"/>
        <w:gridCol w:w="500"/>
        <w:gridCol w:w="60"/>
        <w:gridCol w:w="848"/>
        <w:gridCol w:w="60"/>
        <w:gridCol w:w="691"/>
        <w:gridCol w:w="60"/>
        <w:gridCol w:w="652"/>
      </w:tblGrid>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87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r>
      <w:tr>
        <w:trPr/>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vAlign w:val="center"/>
          </w:tcPr>
          <w:p>
            <w:pPr>
              <w:pStyle w:val="TableContents"/>
              <w:bidi w:val="0"/>
              <w:spacing w:before="0" w:after="283"/>
              <w:jc w:val="left"/>
              <w:rPr/>
            </w:pPr>
            <w:r>
              <w:rPr/>
              <w:t> </w:t>
            </w:r>
          </w:p>
        </w:tc>
        <w:tc>
          <w:tcPr>
            <w:tcW w:w="8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vAlign w:val="center"/>
          </w:tcPr>
          <w:p>
            <w:pPr>
              <w:pStyle w:val="TableContents"/>
              <w:bidi w:val="0"/>
              <w:spacing w:before="0" w:after="283"/>
              <w:jc w:val="left"/>
              <w:rPr/>
            </w:pPr>
            <w:r>
              <w:rPr/>
              <w:t> </w:t>
            </w:r>
          </w:p>
        </w:tc>
        <w:tc>
          <w:tcPr>
            <w:tcW w:w="6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822845.htm">
              <w:r>
                <w:rPr>
                  <w:rStyle w:val="InternetLink"/>
                  <w:rFonts w:ascii="Times New Roman" w:hAnsi="Times New Roman"/>
                  <w:caps w:val="false"/>
                  <w:smallCaps w:val="false"/>
                  <w:sz w:val="20"/>
                </w:rPr>
                <w:t>Certifications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822846.htm">
              <w:r>
                <w:rPr>
                  <w:rStyle w:val="InternetLink"/>
                  <w:rFonts w:ascii="Times New Roman" w:hAnsi="Times New Roman"/>
                  <w:caps w:val="false"/>
                  <w:smallCaps w:val="false"/>
                  <w:sz w:val="20"/>
                </w:rPr>
                <w:t>Certifications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both"/>
              <w:rPr/>
            </w:pPr>
            <w:hyperlink w:anchor="ex_822847.htm">
              <w:r>
                <w:rPr>
                  <w:rStyle w:val="InternetLink"/>
                  <w:rFonts w:ascii="Times New Roman" w:hAnsi="Times New Roman"/>
                  <w:caps w:val="false"/>
                  <w:smallCaps w:val="false"/>
                  <w:sz w:val="20"/>
                </w:rPr>
                <w:t>Certifications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3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r>
      <w:tr>
        <w:trPr/>
        <w:tc>
          <w:tcPr>
            <w:tcW w:w="732" w:type="dxa"/>
            <w:tcBorders/>
            <w:vAlign w:val="center"/>
          </w:tcPr>
          <w:p>
            <w:pPr>
              <w:pStyle w:val="TableContents"/>
              <w:bidi w:val="0"/>
              <w:spacing w:before="0" w:after="0"/>
              <w:ind w:left="0" w:right="0" w:hanging="0"/>
              <w:jc w:val="center"/>
              <w:rPr>
                <w:caps w:val="false"/>
                <w:smallCaps w:val="false"/>
              </w:rPr>
            </w:pPr>
            <w:r>
              <w:rPr>
                <w:caps w:val="false"/>
                <w:smallCaps w:val="false"/>
              </w:rPr>
              <w:t> </w:t>
            </w: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3" w:type="dxa"/>
            <w:gridSpan w:val="9"/>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Filed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Furnished herewith.</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Indicates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2" w:name="signatures"/>
      <w:bookmarkEnd w:id="22"/>
      <w:r>
        <w:rPr>
          <w:rFonts w:ascii="Times New Roman" w:hAnsi="Times New Roman"/>
          <w:b/>
          <w:caps w:val="false"/>
          <w:smallCaps w:val="false"/>
          <w:sz w:val="20"/>
        </w:rPr>
        <w:t xml:space="preserve">SIGNATURES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Quarterly Report on Form 10-Q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50"/>
        <w:gridCol w:w="320"/>
        <w:gridCol w:w="2390"/>
      </w:tblGrid>
      <w:tr>
        <w:trPr/>
        <w:tc>
          <w:tcPr>
            <w:tcW w:w="185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ATERIAN, INC.</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Arturo Rodriguez</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w:t>
            </w:r>
            <w:r>
              <w:rPr>
                <w:rFonts w:ascii="Times New Roman" w:hAnsi="Times New Roman"/>
                <w:i/>
                <w:caps w:val="false"/>
                <w:smallCaps w:val="false"/>
                <w:sz w:val="20"/>
              </w:rPr>
              <w:t>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13, 2025</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40 </w:t>
      </w:r>
    </w:p>
    <w:p>
      <w:pPr>
        <w:pStyle w:val="TextBody"/>
        <w:bidi w:val="0"/>
        <w:spacing w:before="0" w:after="0"/>
        <w:ind w:left="0" w:right="0" w:hanging="0"/>
        <w:jc w:val="right"/>
        <w:rPr>
          <w:rFonts w:ascii="Times New Roman" w:hAnsi="Times New Roman"/>
          <w:b/>
          <w:caps w:val="false"/>
          <w:smallCaps w:val="false"/>
          <w:sz w:val="20"/>
        </w:rPr>
      </w:pPr>
      <w:bookmarkStart w:id="23" w:name="ex_822845.htm"/>
      <w:bookmarkStart w:id="24" w:name="ksex_822845"/>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Arturo Rodriguez,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452710F20237301693427342083"/>
      <w:bookmarkEnd w:id="25"/>
      <w:r>
        <w:rPr>
          <w:rFonts w:ascii="Times New Roman" w:hAnsi="Times New Roman"/>
          <w:caps w:val="false"/>
          <w:smallCaps w:val="false"/>
          <w:sz w:val="20"/>
        </w:rPr>
        <w:t>August 13, 2025</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2375"/>
        <w:gridCol w:w="60"/>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822846.htm"/>
      <w:bookmarkStart w:id="27" w:name="ksex_822846"/>
      <w:bookmarkEnd w:id="26"/>
      <w:bookmarkEnd w:id="2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FINANCIAL OFFICER PURSUANT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 RULE 13a-14(a) UNDER THE SECURITIES EXCHANGE ACT OF 1934</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Joshua Feldman,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Aterian,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8" w:name="led452710F20237301693427485435"/>
      <w:bookmarkEnd w:id="28"/>
      <w:r>
        <w:rPr>
          <w:rFonts w:ascii="Times New Roman" w:hAnsi="Times New Roman"/>
          <w:caps w:val="false"/>
          <w:smallCaps w:val="false"/>
          <w:sz w:val="20"/>
        </w:rPr>
        <w:t>August 13, 2025</w:t>
      </w:r>
    </w:p>
    <w:p>
      <w:pPr>
        <w:pStyle w:val="TextBody"/>
        <w:bidi w:val="0"/>
        <w:spacing w:before="0" w:after="0"/>
        <w:ind w:left="0" w:right="0" w:hanging="0"/>
        <w:jc w:val="left"/>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2390"/>
        <w:gridCol w:w="6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Joshua Feldman</w:t>
            </w:r>
          </w:p>
        </w:tc>
        <w:tc>
          <w:tcPr>
            <w:tcW w:w="6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9" w:name="ex_822847.htm"/>
      <w:bookmarkStart w:id="30" w:name="ksex_822847"/>
      <w:bookmarkEnd w:id="29"/>
      <w:bookmarkEnd w:id="30"/>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PRINCIPAL EXECUTIVE OFFICER AND PRINCIPAL FINANCIAL OFFICER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Aterian, Inc. (the “Company”) for the period ended </w:t>
      </w:r>
      <w:bookmarkStart w:id="31" w:name="led452710F20237301693427616705"/>
      <w:bookmarkEnd w:id="31"/>
      <w:r>
        <w:rPr>
          <w:rFonts w:ascii="Times New Roman" w:hAnsi="Times New Roman"/>
          <w:caps w:val="false"/>
          <w:smallCaps w:val="false"/>
          <w:sz w:val="20"/>
        </w:rPr>
        <w:t>June 30, 2025 as filed with the Securities and Exchange Commission on the date hereof (the “Report”), the undersigned hereby certify, pursuant to 18 U.S.C. Section 1350, as adopted pursuant to Section 906 of the Sarbanes-Oxley Act of 2002, to their knowledge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2375"/>
        <w:gridCol w:w="60"/>
        <w:gridCol w:w="2390"/>
      </w:tblGrid>
      <w:tr>
        <w:trPr/>
        <w:tc>
          <w:tcPr>
            <w:tcW w:w="2375" w:type="dxa"/>
            <w:tcBorders/>
            <w:vAlign w:val="center"/>
          </w:tcPr>
          <w:p>
            <w:pPr>
              <w:pStyle w:val="TableContents"/>
              <w:bidi w:val="0"/>
              <w:spacing w:before="0" w:after="283"/>
              <w:jc w:val="left"/>
              <w:rPr/>
            </w:pPr>
            <w:r>
              <w:rPr/>
              <w:t> </w:t>
            </w:r>
          </w:p>
        </w:tc>
        <w:tc>
          <w:tcPr>
            <w:tcW w:w="2450" w:type="dxa"/>
            <w:gridSpan w:val="2"/>
            <w:tcBorders/>
            <w:vAlign w:val="center"/>
          </w:tcPr>
          <w:p>
            <w:pPr>
              <w:pStyle w:val="TableContents"/>
              <w:bidi w:val="0"/>
              <w:spacing w:before="0" w:after="283"/>
              <w:jc w:val="left"/>
              <w:rPr/>
            </w:pPr>
            <w:r>
              <w:rPr/>
              <w:t> </w:t>
            </w:r>
          </w:p>
        </w:tc>
      </w:tr>
      <w:tr>
        <w:trPr/>
        <w:tc>
          <w:tcPr>
            <w:tcW w:w="23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Arturo Rodriguez</w:t>
            </w:r>
          </w:p>
        </w:tc>
        <w:tc>
          <w:tcPr>
            <w:tcW w:w="60" w:type="dxa"/>
            <w:tcBorders/>
            <w:vAlign w:val="center"/>
          </w:tcPr>
          <w:p>
            <w:pPr>
              <w:pStyle w:val="TableContents"/>
              <w:bidi w:val="0"/>
              <w:spacing w:before="0" w:after="283"/>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Joshua Feldman</w:t>
            </w:r>
          </w:p>
        </w:tc>
      </w:tr>
      <w:tr>
        <w:trPr/>
        <w:tc>
          <w:tcPr>
            <w:tcW w:w="2375" w:type="dxa"/>
            <w:tcBorders/>
            <w:vAlign w:val="center"/>
          </w:tcPr>
          <w:p>
            <w:pPr>
              <w:pStyle w:val="TableContents"/>
              <w:bidi w:val="0"/>
              <w:spacing w:before="0" w:after="283"/>
              <w:jc w:val="left"/>
              <w:rPr/>
            </w:pPr>
            <w:r>
              <w:rPr/>
              <w:t>Arturo Rodriguez</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Joshua Feldman</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Chief Financial Officer</w:t>
            </w:r>
          </w:p>
        </w:tc>
      </w:tr>
      <w:tr>
        <w:trPr/>
        <w:tc>
          <w:tcPr>
            <w:tcW w:w="237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Officer)</w:t>
            </w:r>
          </w:p>
        </w:tc>
      </w:tr>
      <w:tr>
        <w:trPr/>
        <w:tc>
          <w:tcPr>
            <w:tcW w:w="2375" w:type="dxa"/>
            <w:tcBorders/>
            <w:vAlign w:val="center"/>
          </w:tcPr>
          <w:p>
            <w:pPr>
              <w:pStyle w:val="TableContents"/>
              <w:bidi w:val="0"/>
              <w:spacing w:before="0" w:after="0"/>
              <w:ind w:left="200" w:right="0" w:hanging="200"/>
              <w:jc w:val="left"/>
              <w:rPr>
                <w:rFonts w:ascii="Times New Roman" w:hAnsi="Times New Roman"/>
                <w:caps w:val="false"/>
                <w:smallCaps w:val="false"/>
                <w:sz w:val="20"/>
              </w:rPr>
            </w:pPr>
            <w:bookmarkStart w:id="32" w:name="led452710F20237301693427601001"/>
            <w:bookmarkEnd w:id="32"/>
            <w:r>
              <w:rPr>
                <w:rFonts w:ascii="Times New Roman" w:hAnsi="Times New Roman"/>
                <w:caps w:val="false"/>
                <w:smallCaps w:val="false"/>
                <w:sz w:val="20"/>
              </w:rPr>
              <w:t>August 13, 2025</w:t>
            </w:r>
          </w:p>
        </w:tc>
        <w:tc>
          <w:tcPr>
            <w:tcW w:w="6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bookmarkStart w:id="33" w:name="led452710F202373016934276010011"/>
            <w:bookmarkEnd w:id="33"/>
            <w:r>
              <w:rPr/>
              <w:t>August 13,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is not deemed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 (whether made before or after the date of the Report), irrespective of any general incorporation language contained in such filing.</w:t>
      </w:r>
    </w:p>
    <w:p>
      <w:pPr>
        <w:pStyle w:val="TextBody"/>
        <w:bidi w:val="0"/>
        <w:spacing w:before="0" w:after="0"/>
        <w:ind w:left="0" w:right="0" w:firstLine="46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23226</Words>
  <Characters>125812</Characters>
  <CharactersWithSpaces>151658</CharactersWithSpaces>
  <Paragraphs>7417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