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640" w:hanging="3812"/>
        <w:spacing w:after="0" w:line="49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Aterian,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83-1739858</w:t>
            </w:r>
          </w:p>
        </w:tc>
      </w:tr>
      <w:tr>
        <w:trPr>
          <w:trHeight w:val="216"/>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7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7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350 Springfield Avenue, Suite 200</w:t>
            </w:r>
          </w:p>
        </w:tc>
        <w:tc>
          <w:tcPr>
            <w:tcW w:w="4720" w:type="dxa"/>
            <w:vAlign w:val="bottom"/>
          </w:tcPr>
          <w:p>
            <w:pPr>
              <w:spacing w:after="0"/>
              <w:rPr>
                <w:sz w:val="24"/>
                <w:szCs w:val="24"/>
                <w:color w:val="auto"/>
              </w:rPr>
            </w:pPr>
          </w:p>
        </w:tc>
      </w:tr>
      <w:tr>
        <w:trPr>
          <w:trHeight w:val="216"/>
        </w:trPr>
        <w:tc>
          <w:tcPr>
            <w:tcW w:w="33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Summit, NJ</w:t>
            </w:r>
          </w:p>
        </w:tc>
        <w:tc>
          <w:tcPr>
            <w:tcW w:w="47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07901</w:t>
            </w:r>
          </w:p>
        </w:tc>
      </w:tr>
      <w:tr>
        <w:trPr>
          <w:trHeight w:val="238"/>
        </w:trPr>
        <w:tc>
          <w:tcPr>
            <w:tcW w:w="3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7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32"/>
        </w:trPr>
        <w:tc>
          <w:tcPr>
            <w:tcW w:w="3380" w:type="dxa"/>
            <w:vAlign w:val="bottom"/>
          </w:tcPr>
          <w:p>
            <w:pPr>
              <w:spacing w:after="0"/>
              <w:rPr>
                <w:sz w:val="24"/>
                <w:szCs w:val="24"/>
                <w:color w:val="auto"/>
              </w:rPr>
            </w:pPr>
          </w:p>
        </w:tc>
        <w:tc>
          <w:tcPr>
            <w:tcW w:w="4720" w:type="dxa"/>
            <w:vAlign w:val="bottom"/>
          </w:tcPr>
          <w:p>
            <w:pPr>
              <w:jc w:val="right"/>
              <w:ind w:right="3110"/>
              <w:spacing w:after="0"/>
              <w:rPr>
                <w:sz w:val="20"/>
                <w:szCs w:val="20"/>
                <w:color w:val="auto"/>
              </w:rPr>
            </w:pPr>
            <w:r>
              <w:rPr>
                <w:rFonts w:ascii="Times New Roman" w:cs="Times New Roman" w:eastAsia="Times New Roman" w:hAnsi="Times New Roman"/>
                <w:sz w:val="18"/>
                <w:szCs w:val="18"/>
                <w:b w:val="1"/>
                <w:bCs w:val="1"/>
                <w:color w:val="auto"/>
              </w:rPr>
              <w:t>(347) 676-1681</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47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3"/>
              </w:rPr>
              <w:t>ATER</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5"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2026, the registrant had 10,818,910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500" w:type="dxa"/>
            <w:vAlign w:val="bottom"/>
            <w:gridSpan w:val="3"/>
            <w:vMerge w:val="continue"/>
          </w:tcPr>
          <w:p>
            <w:pPr>
              <w:spacing w:after="0"/>
              <w:rPr>
                <w:sz w:val="14"/>
                <w:szCs w:val="14"/>
                <w:color w:val="auto"/>
              </w:rPr>
            </w:pPr>
          </w:p>
        </w:tc>
        <w:tc>
          <w:tcPr>
            <w:tcW w:w="9020" w:type="dxa"/>
            <w:vAlign w:val="bottom"/>
            <w:gridSpan w:val="18"/>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600" w:type="dxa"/>
            <w:vAlign w:val="bottom"/>
            <w:gridSpan w:val="8"/>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360" w:type="dxa"/>
            <w:vAlign w:val="bottom"/>
            <w:gridSpan w:val="6"/>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Condensed Consolidated Statements of Comprehensive Loss</w:t>
            </w:r>
          </w:p>
        </w:tc>
        <w:tc>
          <w:tcPr>
            <w:tcW w:w="464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640" w:type="dxa"/>
            <w:vAlign w:val="bottom"/>
            <w:gridSpan w:val="3"/>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60" w:type="dxa"/>
            <w:vAlign w:val="bottom"/>
            <w:tcBorders>
              <w:top w:val="single" w:sz="8" w:color="0000EE"/>
            </w:tcBorders>
            <w:gridSpan w:val="2"/>
          </w:tcPr>
          <w:p>
            <w:pPr>
              <w:spacing w:after="0"/>
              <w:rPr>
                <w:sz w:val="17"/>
                <w:szCs w:val="17"/>
                <w:color w:val="auto"/>
              </w:rPr>
            </w:pPr>
          </w:p>
        </w:tc>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24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714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770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5"/>
          </w:tcPr>
          <w:p>
            <w:pPr>
              <w:spacing w:after="0"/>
              <w:rPr>
                <w:sz w:val="17"/>
                <w:szCs w:val="17"/>
                <w:color w:val="auto"/>
              </w:rPr>
            </w:pPr>
          </w:p>
        </w:tc>
        <w:tc>
          <w:tcPr>
            <w:tcW w:w="46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260" w:type="dxa"/>
            <w:vAlign w:val="bottom"/>
            <w:gridSpan w:val="13"/>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17"/>
                <w:szCs w:val="17"/>
                <w:color w:val="auto"/>
              </w:rPr>
            </w:pPr>
          </w:p>
        </w:tc>
        <w:tc>
          <w:tcPr>
            <w:tcW w:w="772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0" w:type="dxa"/>
            <w:vAlign w:val="bottom"/>
          </w:tcPr>
          <w:p>
            <w:pPr>
              <w:spacing w:after="0"/>
              <w:rPr>
                <w:sz w:val="1"/>
                <w:szCs w:val="1"/>
                <w:color w:val="auto"/>
              </w:rPr>
            </w:pPr>
          </w:p>
        </w:tc>
      </w:tr>
      <w:tr>
        <w:trPr>
          <w:trHeight w:val="196"/>
        </w:trPr>
        <w:tc>
          <w:tcPr>
            <w:tcW w:w="1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696"/>
        </w:trPr>
        <w:tc>
          <w:tcPr>
            <w:tcW w:w="7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08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Section 27A of the Securities Act and Section 21E of the Securities Exchange Act of 1934 (the "Exchange Act"). Many of these statements can be identified by the use of terminology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negative versions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these terms and other similar expressions. Our actual results or experience could differ significantly from the forward-looking statements. Factors that could cause or contribute to these differences include those discussed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Part II, Item 1A of this Quarterly Report on Form 10-Q as well as information provided elsewhere in this Quarterly Report on Form 10-Q and our Annual Report on Form 10-K for the year ended December 31, 2025, which was filed with the Securities and Exchange Commission (the SEC) on March 20, 2026. You should carefully consider that information before you make an investment decision.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place undue reliance on these types of forward-looking statements, which speak only as of the date that they were made. These forward-looking statements are based on the beliefs and assumptions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discussion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condition and results of operations should be read in conjunction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Condensed Consolidated Financial Statements and the related Notes thereto included in this Quarterly Report on Form 10-Q.</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190"/>
        </w:trPr>
        <w:tc>
          <w:tcPr>
            <w:tcW w:w="1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4,857</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 (Note 3)</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28,515</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29,565</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1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920" w:type="dxa"/>
            <w:vAlign w:val="bottom"/>
            <w:tcBorders>
              <w:bottom w:val="single" w:sz="8" w:color="auto"/>
            </w:tcBorders>
            <w:gridSpan w:val="3"/>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Seller notes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5,336</w:t>
            </w:r>
          </w:p>
        </w:tc>
      </w:tr>
      <w:tr>
        <w:trPr>
          <w:trHeight w:val="216"/>
        </w:trPr>
        <w:tc>
          <w:tcPr>
            <w:tcW w:w="800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held for sale (Note 3)</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14,130</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14,355</w:t>
            </w: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 10,818,910 and 10,027,046 shares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746,414</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(736,793)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(730,661)</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r>
      <w:tr>
        <w:trPr>
          <w:trHeight w:val="210"/>
        </w:trPr>
        <w:tc>
          <w:tcPr>
            <w:tcW w:w="80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22,198</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29,565</w:t>
            </w: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4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from continuing operations per share, basic and diluted</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(0.39)</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from discontinued operations per share, basic and diluted</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line="197" w:lineRule="exact"/>
              <w:rPr>
                <w:sz w:val="20"/>
                <w:szCs w:val="20"/>
                <w:color w:val="auto"/>
              </w:rPr>
            </w:pPr>
            <w:r>
              <w:rPr>
                <w:rFonts w:ascii="Times New Roman" w:cs="Times New Roman" w:eastAsia="Times New Roman" w:hAnsi="Times New Roman"/>
                <w:sz w:val="13"/>
                <w:szCs w:val="13"/>
                <w:color w:val="auto"/>
              </w:rPr>
              <w:t>(0.30</w:t>
            </w:r>
            <w:r>
              <w:rPr>
                <w:rFonts w:ascii="Times New Roman" w:cs="Times New Roman" w:eastAsia="Times New Roman" w:hAnsi="Times New Roman"/>
                <w:sz w:val="22"/>
                <w:szCs w:val="22"/>
                <w:color w:val="auto"/>
                <w:vertAlign w:val="subscript"/>
              </w:rPr>
              <w:t>)</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2"/>
                <w:szCs w:val="22"/>
                <w:color w:val="auto"/>
                <w:vertAlign w:val="subscript"/>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8,844,573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7,452,957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56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6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240" w:type="dxa"/>
            <w:vAlign w:val="bottom"/>
            <w:gridSpan w:val="7"/>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33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Net loss</w:t>
            </w:r>
            <w:r>
              <w:rPr>
                <w:rFonts w:ascii="Times New Roman" w:cs="Times New Roman" w:eastAsia="Times New Roman" w:hAnsi="Times New Roman"/>
                <w:sz w:val="24"/>
                <w:szCs w:val="24"/>
                <w:color w:val="auto"/>
                <w:vertAlign w:val="superscript"/>
              </w:rPr>
              <w:t>(1)</w:t>
            </w:r>
          </w:p>
        </w:tc>
        <w:tc>
          <w:tcPr>
            <w:tcW w:w="4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3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Foreign currency translation adjustments</w:t>
            </w:r>
            <w:r>
              <w:rPr>
                <w:rFonts w:ascii="Times New Roman" w:cs="Times New Roman" w:eastAsia="Times New Roman" w:hAnsi="Times New Roman"/>
                <w:sz w:val="26"/>
                <w:szCs w:val="26"/>
                <w:color w:val="auto"/>
                <w:vertAlign w:val="superscript"/>
              </w:rPr>
              <w:t>(1)</w:t>
            </w:r>
          </w:p>
        </w:tc>
        <w:tc>
          <w:tcPr>
            <w:tcW w:w="4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w:t>
            </w:r>
          </w:p>
        </w:tc>
      </w:tr>
      <w:tr>
        <w:trPr>
          <w:trHeight w:val="210"/>
        </w:trPr>
        <w:tc>
          <w:tcPr>
            <w:tcW w:w="3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47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8"/>
                <w:szCs w:val="18"/>
                <w:color w:val="auto"/>
              </w:rPr>
            </w:pPr>
          </w:p>
        </w:tc>
      </w:tr>
      <w:tr>
        <w:trPr>
          <w:trHeight w:val="223"/>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7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right="180" w:hanging="488"/>
        <w:spacing w:after="0" w:line="284"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 additional details.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20"/>
        <w:spacing w:after="0" w:line="200" w:lineRule="auto"/>
        <w:rPr>
          <w:sz w:val="20"/>
          <w:szCs w:val="20"/>
          <w:color w:val="auto"/>
        </w:rPr>
      </w:pPr>
      <w:r>
        <w:rPr>
          <w:rFonts w:ascii="Times New Roman" w:cs="Times New Roman" w:eastAsia="Times New Roman" w:hAnsi="Times New Roman"/>
          <w:sz w:val="18"/>
          <w:szCs w:val="18"/>
          <w:color w:val="auto"/>
        </w:rPr>
        <w:t>BALANCE—January 1, 2026 Net loss</w:t>
      </w:r>
      <w:r>
        <w:rPr>
          <w:rFonts w:ascii="Times New Roman" w:cs="Times New Roman" w:eastAsia="Times New Roman" w:hAnsi="Times New Roman"/>
          <w:sz w:val="29"/>
          <w:szCs w:val="29"/>
          <w:color w:val="auto"/>
          <w:vertAlign w:val="superscript"/>
        </w:rPr>
        <w:t>(1)</w:t>
      </w:r>
    </w:p>
    <w:p>
      <w:pPr>
        <w:spacing w:after="0" w:line="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Issuance of shares of restricted common stock</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Forfeiture of shares of restricted common stock</w:t>
      </w:r>
    </w:p>
    <w:p>
      <w:pPr>
        <w:spacing w:after="0" w:line="1" w:lineRule="exact"/>
        <w:rPr>
          <w:sz w:val="20"/>
          <w:szCs w:val="20"/>
          <w:color w:val="auto"/>
        </w:rPr>
      </w:pPr>
    </w:p>
    <w:p>
      <w:pPr>
        <w:ind w:right="260"/>
        <w:spacing w:after="0" w:line="197" w:lineRule="auto"/>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Other comprehensive loss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gridSpan w:val="5"/>
            <w:vMerge w:val="restart"/>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260" w:type="dxa"/>
            <w:vAlign w:val="bottom"/>
            <w:tcBorders>
              <w:bottom w:val="single" w:sz="8" w:color="auto"/>
            </w:tcBorders>
            <w:gridSpan w:val="5"/>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138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10,027,046</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746,414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(730,661)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823,180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(31,316)</w:t>
            </w:r>
          </w:p>
        </w:tc>
        <w:tc>
          <w:tcPr>
            <w:tcW w:w="8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4"/>
        </w:trPr>
        <w:tc>
          <w:tcPr>
            <w:tcW w:w="13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10,818,910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746,930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(736,793)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-1276350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-993775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-445135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-161925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000" w:space="280"/>
            <w:col w:w="7960"/>
          </w:cols>
          <w:pgMar w:left="320" w:top="121" w:right="339" w:bottom="1440" w:gutter="0" w:footer="0" w:header="0"/>
        </w:sectPr>
      </w:pPr>
    </w:p>
    <w:p>
      <w:pPr>
        <w:ind w:left="820" w:right="180" w:hanging="488"/>
        <w:spacing w:after="0" w:line="26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 additional details.</w:t>
      </w: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260" w:type="dxa"/>
            <w:vAlign w:val="bottom"/>
            <w:gridSpan w:val="3"/>
            <w:vMerge w:val="restart"/>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8,750,741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742,591</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(711,677)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loss</w:t>
            </w:r>
            <w:r>
              <w:rPr>
                <w:rFonts w:ascii="Times New Roman" w:cs="Times New Roman" w:eastAsia="Times New Roman" w:hAnsi="Times New Roman"/>
                <w:sz w:val="24"/>
                <w:szCs w:val="24"/>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8,748,741</w:t>
            </w:r>
          </w:p>
        </w:tc>
        <w:tc>
          <w:tcPr>
            <w:tcW w:w="260" w:type="dxa"/>
            <w:vAlign w:val="bottom"/>
          </w:tcPr>
          <w:p>
            <w:pPr>
              <w:spacing w:after="0"/>
              <w:rPr>
                <w:sz w:val="18"/>
                <w:szCs w:val="18"/>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743,374</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(715,573)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hanging="488"/>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additional details.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64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0" w:type="dxa"/>
            <w:vAlign w:val="bottom"/>
          </w:tcPr>
          <w:p>
            <w:pPr>
              <w:spacing w:after="0"/>
              <w:rPr>
                <w:sz w:val="13"/>
                <w:szCs w:val="13"/>
                <w:color w:val="auto"/>
              </w:rPr>
            </w:pPr>
          </w:p>
        </w:tc>
        <w:tc>
          <w:tcPr>
            <w:tcW w:w="9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ACTIVITIES:</w:t>
            </w:r>
          </w:p>
        </w:tc>
        <w:tc>
          <w:tcPr>
            <w:tcW w:w="9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(6,132)</w:t>
            </w:r>
          </w:p>
        </w:tc>
        <w:tc>
          <w:tcPr>
            <w:tcW w:w="1040" w:type="dxa"/>
            <w:vAlign w:val="bottom"/>
            <w:gridSpan w:val="2"/>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(2,697)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from continuing operations</w:t>
            </w: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 and debt discounts</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9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2"/>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accrued and other liabilities</w:t>
            </w:r>
          </w:p>
        </w:tc>
        <w:tc>
          <w:tcPr>
            <w:tcW w:w="9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2"/>
        </w:trPr>
        <w:tc>
          <w:tcPr>
            <w:tcW w:w="8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operating activities in continuing operations</w:t>
            </w:r>
          </w:p>
        </w:tc>
        <w:tc>
          <w:tcPr>
            <w:tcW w:w="9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(2,197)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Cash provided by (used in) operating activities in discontinued operations</w:t>
            </w:r>
          </w:p>
        </w:tc>
        <w:tc>
          <w:tcPr>
            <w:tcW w:w="9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1,834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42"/>
        </w:trPr>
        <w:tc>
          <w:tcPr>
            <w:tcW w:w="8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operating activities</w:t>
            </w:r>
          </w:p>
        </w:tc>
        <w:tc>
          <w:tcPr>
            <w:tcW w:w="9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fixed assets</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used in investing activities in continuing operations</w:t>
            </w: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used in investing activities in discontinued operations</w:t>
            </w:r>
          </w:p>
        </w:tc>
        <w:tc>
          <w:tcPr>
            <w:tcW w:w="9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98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from MidCap credit facilities</w:t>
            </w:r>
          </w:p>
        </w:tc>
        <w:tc>
          <w:tcPr>
            <w:tcW w:w="9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5,870</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10,296</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for MidCap credit facilities</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(7,651)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(9,777)</w:t>
            </w: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Insurance obligation payments</w:t>
            </w:r>
          </w:p>
        </w:tc>
        <w:tc>
          <w:tcPr>
            <w:tcW w:w="9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 financing proceeds</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financing activities in continuing operations</w:t>
            </w: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used in financing activities in discontinued operations</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financing activities</w:t>
            </w: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 on cash and restricted cash</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2"/>
        </w:trPr>
        <w:tc>
          <w:tcPr>
            <w:tcW w:w="8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and restricted cash for the period</w:t>
            </w: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restricted cash at beginning of year</w:t>
            </w:r>
          </w:p>
        </w:tc>
        <w:tc>
          <w:tcPr>
            <w:tcW w:w="9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6,002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19,143</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Cash and restricted cash at end of period</w:t>
            </w:r>
          </w:p>
        </w:tc>
        <w:tc>
          <w:tcPr>
            <w:tcW w:w="980" w:type="dxa"/>
            <w:vAlign w:val="bottom"/>
            <w:tcBorders>
              <w:top w:val="single" w:sz="8" w:color="auto"/>
              <w:bottom w:val="single" w:sz="8" w:color="auto"/>
            </w:tcBorders>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3,463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15,838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RECONCILIATION OF CASH AND RESTRICTED CASH:</w:t>
            </w: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9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14,337</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cash—Prepaid and other current assets</w:t>
            </w: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cash—Other non-current assets</w:t>
            </w:r>
          </w:p>
        </w:tc>
        <w:tc>
          <w:tcPr>
            <w:tcW w:w="9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56"/>
        </w:trPr>
        <w:tc>
          <w:tcPr>
            <w:tcW w:w="80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CASH AND RESTRICTED CASH</w:t>
            </w:r>
          </w:p>
        </w:tc>
        <w:tc>
          <w:tcPr>
            <w:tcW w:w="980" w:type="dxa"/>
            <w:vAlign w:val="bottom"/>
            <w:tcBorders>
              <w:top w:val="single" w:sz="8" w:color="auto"/>
              <w:bottom w:val="single" w:sz="8" w:color="auto"/>
            </w:tcBorders>
            <w:shd w:val="clear" w:color="auto" w:fill="CCEEFF"/>
          </w:tcPr>
          <w:p>
            <w:pPr>
              <w:jc w:val="right"/>
              <w:ind w:right="8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3,463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15,838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80" w:type="dxa"/>
            <w:vAlign w:val="bottom"/>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040" w:type="dxa"/>
            <w:vAlign w:val="bottom"/>
            <w:gridSpan w:val="2"/>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980" w:type="dxa"/>
            <w:vAlign w:val="bottom"/>
            <w:shd w:val="clear" w:color="auto" w:fill="CCEEFF"/>
          </w:tcPr>
          <w:p>
            <w:pPr>
              <w:jc w:val="right"/>
              <w:ind w:right="8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40" w:type="dxa"/>
            <w:vAlign w:val="bottom"/>
            <w:gridSpan w:val="2"/>
            <w:shd w:val="clear" w:color="auto" w:fill="CCEEFF"/>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23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Jersey, the Company also maintains offices in China, the Philippines,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27, 2026, Aterian, Inc. (the “Company” or “Aterian”) and Trademark Global, LLC (“Trademark Global”) entered into an Asset Purchase Agreement (the “Asset Purchase Agreement”), pursuant to which Trademark Global has agreed to acquire certain specified assets and liabilities of the Company, including, among other things, assets associated with the Company’s marquee brands: Mueller Living, PurSteam, hOmeLabs, Squatty Potty, Healing Solutions, and Photo Paper Direct for $18 million in cash, subject to certain purchase price adjustments (the “Asset Sale”). Certain assets and liabilities of the Company are expressly excluded from the Asset Sale, including, among other things, the following: (i) assets: all cash, any equity interests held by the Company, contracts that are not considered acquired assets, certain Amazon accounts, certain intellectual property, corporate books and records, benefit plans, and certain tax assets and (ii) liabilities: liabilities related to any excluded assets, certain employee liabilities, liabilities under benefit plans of the Company, pre-closing liabilities under purchased contracts, certain taxes and indebtedness.</w:t>
      </w:r>
    </w:p>
    <w:p>
      <w:pPr>
        <w:spacing w:after="0" w:line="19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closing of the Asset Sale (the “APA Closing”) is subject to various conditions, including, among others, (i) the absence of any law or order prohibiting the consummation of the APA Closing, (ii) the parties’ compliance in all material respects with the covenants and agreements in the Asset Purchase Agreement, (iii) the accuracy of the parties’ representations and warranties contained in the Asset Purchase Agreement (subject to certain materiality qualifications), (iv) the Company's stockholders having approved the Asset Sale in accordance with applicable law and the Company's organizational documents, and (v) the Company having achieved contribution margins (in U.S. dollars) not lower than 87.5% of such margins projected for the Company's business for certain measurement periods, as provided in the Asset Purchase Agreement. The APA Closing is not subject to any financing-related condition.</w:t>
      </w:r>
    </w:p>
    <w:p>
      <w:pPr>
        <w:spacing w:after="0" w:line="17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Asset Purchase Agreement contains customary representations, warranties and covenants, including covenants obligating the Company to continue to conduct its business in the ordinary course, provide reasonable access to the Company’s books and records and convene and hold a meeting of its stockholders as promptly as reasonably practicable to obtain the approval of its stockholders for the Asset Sale. The Asset Purchase Agreement also contains a customary “no solicitation” provision pursuant to which, prior to the completion of the Asset Sale, the Company may not solicit or engage in discussions with any third party regarding another acquisition proposal unless, subject to the applicable terms and conditions of the Asset Purchase Agreement, it has received a written acquisition proposal for another acquisition that the Company’s board of directors (the “Board”) determines in good faith constitutes or would result in a “Superior Proposal” (as defined in the Asset Purchase Agreement). The Company is obligated to duly call and hold a special meeting of its stockholders to obtain the necessary stockholder approval for the Asset Sale.</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Asset Purchase Agreement contains certain termination rights in favor of each of the Company and Trademark Global. In addition, the Asset Purchase Agreement provides that, in connection with certain terminations of the Asset Purchase Agreement, depending upon the circumstances surrounding the termination, one party may be required to pay the other party a termination fee of $1.1 million. Additionally, the Asset Purchase Agreement provides that, in connection with certain terminations of the Asset Purchase Agreement, the Company may be required to pay Trademark Global's transaction expenses up to a maximum of $0.6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expects to continue to operate its smaller remaining legacy brands such as Vremi and Xtava.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2026, the Company and David E. Lazar (“Lazar”) entered into a Securities Purchase Agreement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Lazar agreed to purchase from the Company 1,750,000 shares of SeriesAA Convertible Non-Redeemable Preferred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$0.0001 per share, of the Company (the “Series AA Preferred Stock” and such purchased shares, the “Series AA Preferred Shares”) and 1,750,000 shares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SeriesAAA Convertible Non-Redeemable Preferred Stock, par value $0.0001 per share, of the Company (the “Series AAA Preferred Stock,” and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Series AA Preferred Stock, the “Preferred Stock” and such purchased shares, the “Series AAA Preferred Shares” and together with the Series AA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Shares, the “Purchased Shares”), in each case at a purchase price of $2.00 per share of Preferred Stock for aggregate gross proceeds of $7.0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subject to the terms and conditions of the Securities Purchase Agreement (the “Stock Sale,” and collectively with the Asset Sale, the “Aterian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closing on the sale of the Series AA Preferred Shares was completed on April 27, 2026 (the “Initial SPA Closing”). The closing on the sale of the SeriesAAA Preferred Shares is expected to occur following the receipt of stockholder approval of the issuance of shares of common stock, par value $0.0001 per share, of the Company (“Common Stock”) upon conversion of the Purchased Shares (the “Second SPA Closing”).</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Following receipt of stockholder approval, each Series AA Preferred Share will be convertible into 7.7 shares of Common Stock, and each Series AAA Preferred Share will be convertible into a minimum of 117.63 and maximum of 135.10 shares of Common Stock, depending on the fully-diluted capitalization of the Company immediately prior to the closing on the sale of the Series AAA Preferred Shares as determined in accordance with the terms of the Securities Purchase Agreement (as described more fully below). Following the Second SPA Closing, Lazar and the Company’s existing equityholders will hold approximately 95.13% and 4.87%, respectively, of the Company’s fully-diluted share 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Lazar agreed to customary representations, warranties and covenants in the Securities Purchase Agreement.</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Second SPA Closing is subject to customary conditions, including, among others, (i) the parties’ compliance in all material respects with the covenants and agreements in the Securities Purchase Agreement, (ii) the accuracy of the parties’ representations and warranties contained in the Securities Purchase Agreement (subject to certain materiality qualifications) and (iii) the receipt of approval by the Company’s stockholders of the proposals required pursuant to the Securities Purchase Agreement, as described further below.</w:t>
      </w:r>
    </w:p>
    <w:p>
      <w:pPr>
        <w:sectPr>
          <w:pgSz w:w="11900" w:h="16838" w:orient="portrait"/>
          <w:cols w:equalWidth="0" w:num="1">
            <w:col w:w="11240"/>
          </w:cols>
          <w:pgMar w:left="320" w:top="121" w:right="339" w:bottom="0" w:gutter="0" w:footer="0" w:header="0"/>
        </w:sectPr>
      </w:pPr>
    </w:p>
    <w:bookmarkStart w:id="9" w:name="page10"/>
    <w:bookmarkEnd w:id="9"/>
    <w:p>
      <w:pPr>
        <w:spacing w:after="0" w:line="258" w:lineRule="auto"/>
        <w:rPr>
          <w:sz w:val="20"/>
          <w:szCs w:val="20"/>
          <w:color w:val="auto"/>
        </w:rPr>
      </w:pPr>
      <w:r>
        <w:rPr>
          <w:rFonts w:ascii="Times New Roman" w:cs="Times New Roman" w:eastAsia="Times New Roman" w:hAnsi="Times New Roman"/>
          <w:sz w:val="18"/>
          <w:szCs w:val="18"/>
          <w:color w:val="auto"/>
        </w:rPr>
        <w:t>Pursuant to the Securities Purchase Agreement, the Company agreed to use commercially reasonable efforts to hold a special meeting of stockholders no later than July 20, 2026, and include, among other things, proposals for (i) the issuance of Common Stock to Lazar in compliance with the rules and regulations of the Nasdaq Stock Market LLC (“Nasdaq”) upon conversion of the Purchased Shares, (ii) an amendment to the Company’s amended and restated certificate of incorporation that increases the authorized shares of Common Stock from 500,000,000 up to 1,000,000,000, (iii) the election of four (4) additional designees of Lazar to the Board and (iv) a reverse stock split of the Common Stock in the range of 1-for-2 to 1-for-99.</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Securities Purchase Agreement, the Company will indemnify Lazar against damages arising from, among other things, breaches of the Company’s representations, warranties or covenants under the Securities Purchase Agreement.</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April 27, 2026, the Company entered into a series of definitive agreements (collectively, the “Aterian Transactions”) to fundamentally restructure its operations and capital position. Under the terms of an Asset Purchase Agreement with Trademark Global, LLC, the Company agreed to sell its marquee brands, including Mueller Living, PurSteam, hOmeLabs, Squatty Potty, Healing Solutions, and Photo Paper Direct, for $18 million in cash less transaction related costs. Simultaneously, the Company entered into a Securities Purchase Agreement with David E. Lazar for the issuance of Series AA and Series AAA Preferred Stock for aggregate gross proceeds of $7.0 million.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Upon the closing of these transactions, Mr. Lazar will hold approximately 95.13% of the Company’s fully diluted share capitalization. Management intends to utilize the proceeds from these transactions to satisfy existing debt obligations and provide working capital for our core ongoing business segments, which include the Vremi and Xtava brands. Following the change in control, the Company intends to leverage its retained assets and operational infrastructure to pursue a streamlined growth strategy.</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Going Concern, management evaluated whether there are conditions and events that raise substantial doubt about the Company’s ability to continue as a going concern within one year after the date these Condensed Consolidated Financial Statements are issued.</w:t>
      </w:r>
    </w:p>
    <w:p>
      <w:pPr>
        <w:spacing w:after="0" w:line="176" w:lineRule="exact"/>
        <w:rPr>
          <w:sz w:val="20"/>
          <w:szCs w:val="20"/>
          <w:color w:val="auto"/>
        </w:rPr>
      </w:pPr>
    </w:p>
    <w:p>
      <w:pPr>
        <w:ind w:left="940" w:right="80" w:hanging="325"/>
        <w:spacing w:after="0" w:line="255"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we have incurred significant losses and used cash flows from operations to fund our enterprise. To preserve liquidity, we implemented fixed cost reduction plans in May 2025 and January 2026, resulting in a significant reduction in operating expenses. While these actions reduced our operating footprint, they were insufficient to offset macroeconomic pressures, such as tariffs and reduced consumer spending, necessitating the Aterian Transactions.</w:t>
      </w:r>
    </w:p>
    <w:p>
      <w:pPr>
        <w:spacing w:after="0" w:line="2" w:lineRule="exact"/>
        <w:rPr>
          <w:rFonts w:ascii="Times New Roman" w:cs="Times New Roman" w:eastAsia="Times New Roman" w:hAnsi="Times New Roman"/>
          <w:sz w:val="18"/>
          <w:szCs w:val="18"/>
          <w:color w:val="auto"/>
        </w:rPr>
      </w:pPr>
    </w:p>
    <w:p>
      <w:pPr>
        <w:ind w:left="940" w:right="60" w:hanging="325"/>
        <w:spacing w:after="0" w:line="250"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Aterian Transactions is subject to significant conditions, most notably the receipt of stockholder approval for the Asset Sale and the issuance of common stock upon conversion of the Preferred Stock. Furthermore, the Asset Sale is contingent upon the Company achieving specific contribution margin targets. We intend to hold a special meeting of stockholders no later than July 20, 2026, to seek these approvals.</w:t>
      </w:r>
    </w:p>
    <w:p>
      <w:pPr>
        <w:spacing w:after="0" w:line="1" w:lineRule="exact"/>
        <w:rPr>
          <w:rFonts w:ascii="Times New Roman" w:cs="Times New Roman" w:eastAsia="Times New Roman" w:hAnsi="Times New Roman"/>
          <w:sz w:val="18"/>
          <w:szCs w:val="18"/>
          <w:color w:val="auto"/>
        </w:rPr>
      </w:pPr>
    </w:p>
    <w:p>
      <w:pPr>
        <w:ind w:left="940" w:right="240" w:hanging="325"/>
        <w:spacing w:after="0" w:line="250"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global political instabilities, specifically the Iran conflict, are expected to result in higher costs for raw materials, energy, and transportation in the near term. These disruptions are anticipated to increase our cost of goods sold and have already contributed to higher marketplace fees due to rising oil prices. Such external pressures continue to negatively impact our operating results and cash flows, further underscoring the necessity of the Aterian Transactions to stabilize our capital position.</w:t>
      </w:r>
    </w:p>
    <w:p>
      <w:pPr>
        <w:spacing w:after="0" w:line="1" w:lineRule="exact"/>
        <w:rPr>
          <w:rFonts w:ascii="Times New Roman" w:cs="Times New Roman" w:eastAsia="Times New Roman" w:hAnsi="Times New Roman"/>
          <w:sz w:val="18"/>
          <w:szCs w:val="18"/>
          <w:color w:val="auto"/>
        </w:rPr>
      </w:pPr>
    </w:p>
    <w:p>
      <w:pPr>
        <w:ind w:left="940" w:right="40" w:hanging="325"/>
        <w:spacing w:after="0" w:line="251"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 Credit and Security Agreement with MidCap Funding IV Trust. 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 While we were in compliance with our financial covenants as of March 31, 2026, our ability to maintain compliance beyond the current waiver period and meet future obligations is significantly dependent upon the successful closing of the Asset Sale and the Stock Sale.</w:t>
      </w:r>
    </w:p>
    <w:p>
      <w:pPr>
        <w:spacing w:after="0" w:line="1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Management’s plan to alleviate substantial doubt is centered on the consummation of the Aterian Transactions. If the Company is unable to obtain stockholder approval, or if the transactions otherwise fail to close, management may be required to implement alternative strategies. These may include seeking other strategic buyers, attempting to secure alternative high-cost financing, or a further drastic reduction in our operating footprint.</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Furthermore, if the transactions are terminated under certain circumstances, the Company may be required to pay a termination fee of $1.1 million and reimburse expenses up to $0.6 million, which would further adversely impact our liquidity.</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As the closing of the Aterian Transactions is subject to factors outside of the Company’s direct control, such as stockholder approval, management has concluded that these uncertainties raise substantial doubt about the Company’s ability to continue as a going concern. The accompanying Condensed Consolidated Financial Statements do not include any adjustments that might result from the outcome of this uncertainty.</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On December 9, 2025, the Company received a letter from the Listing Qualifications Staff of The Nasdaq Stock Market LLC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Common Stock on The Nasdaq Capital Market, and, therefore, the Company's listing remains fully effective.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ectPr>
          <w:pgSz w:w="11900" w:h="16838" w:orient="portrait"/>
          <w:cols w:equalWidth="0" w:num="1">
            <w:col w:w="11240"/>
          </w:cols>
          <w:pgMar w:left="320" w:top="121" w:right="339" w:bottom="113"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Condensed Consolidated Financial Statements and accompanying notes have been prepared in accordance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in the United States of America (“U.S. GAAP”).</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Unaudited Interim Financial Information</w:t>
      </w:r>
      <w:r>
        <w:rPr>
          <w:rFonts w:ascii="Times New Roman" w:cs="Times New Roman" w:eastAsia="Times New Roman" w:hAnsi="Times New Roman"/>
          <w:sz w:val="18"/>
          <w:szCs w:val="18"/>
          <w:color w:val="auto"/>
        </w:rPr>
        <w:t>—The accompanying interim Condensed Consolidated Financial Statements are unaudited and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on the same basis as the audited consolidated financial statements and, in the opinion of management, reflect all adjustments necessary for the fair presentation of the Company's financial position as of March 31, 2026 and the results of its operations and its cash flows for the periods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Condensed Consolidated Balance Sheet as of December 31, 2025, presented herein, has been derived from the Company’s audited Consolidated Financial Statements for the fiscal year then ended. These unaudited Interim Condensed Consolidated Financial Statements should be read in conjunction with our Annual Report on Form 10-K for the year ended December 31, 2025 as filed with the SEC on March 20, 2026 (“Annual Report”) and have been prepared on a consistent basis with the accounting policies described in Note 2 of the Notes to Consolidated Financial Statements included in our Annual Report. Our accounting policies did not change during the three months ended March 31, 2026, other than with respect to the new accounting pronouncements adopted as described in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for interim financial information and with the instructions to Form 10-Q and Article 8 of Regulation S-X. Accordingly, they do not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March 31, 2026 and for the three months then ended.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Condensed Consolidated Financial Statements include the accounts of the Company and its wholly-owned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Held for sale classification</w:t>
      </w:r>
      <w:r>
        <w:rPr>
          <w:rFonts w:ascii="Times New Roman" w:cs="Times New Roman" w:eastAsia="Times New Roman" w:hAnsi="Times New Roman"/>
          <w:sz w:val="18"/>
          <w:szCs w:val="18"/>
          <w:color w:val="auto"/>
        </w:rPr>
        <w:t>—We report and classify a business or a component of an entity as held-for-sale (Held-For-Sale Business) when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 Refer to Note 3, </w:t>
      </w:r>
      <w:r>
        <w:rPr>
          <w:rFonts w:ascii="Times New Roman" w:cs="Times New Roman" w:eastAsia="Times New Roman" w:hAnsi="Times New Roman"/>
          <w:sz w:val="18"/>
          <w:szCs w:val="18"/>
          <w:i w:val="1"/>
          <w:iCs w:val="1"/>
          <w:color w:val="auto"/>
        </w:rPr>
        <w:t>Held for Sale Classification and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Presentation </w:t>
      </w:r>
      <w:r>
        <w:rPr>
          <w:rFonts w:ascii="Times New Roman" w:cs="Times New Roman" w:eastAsia="Times New Roman" w:hAnsi="Times New Roman"/>
          <w:sz w:val="18"/>
          <w:szCs w:val="18"/>
          <w:color w:val="auto"/>
        </w:rPr>
        <w:t>for additional details.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Discontinued operations presentation</w:t>
      </w:r>
      <w:r>
        <w:rPr>
          <w:rFonts w:ascii="Times New Roman" w:cs="Times New Roman" w:eastAsia="Times New Roman" w:hAnsi="Times New Roman"/>
          <w:sz w:val="18"/>
          <w:szCs w:val="18"/>
          <w:color w:val="auto"/>
        </w:rPr>
        <w:t>—We present a business, or a component of an entity, as discontinued operations if a) it meets the held-for-sale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 Refer to Note 3, </w:t>
      </w:r>
      <w:r>
        <w:rPr>
          <w:rFonts w:ascii="Times New Roman" w:cs="Times New Roman" w:eastAsia="Times New Roman" w:hAnsi="Times New Roman"/>
          <w:sz w:val="18"/>
          <w:szCs w:val="18"/>
          <w:i w:val="1"/>
          <w:iCs w:val="1"/>
          <w:color w:val="auto"/>
        </w:rPr>
        <w:t>Held for Sale Classification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Discontinued Operations Presentation </w:t>
      </w:r>
      <w:r>
        <w:rPr>
          <w:rFonts w:ascii="Times New Roman" w:cs="Times New Roman" w:eastAsia="Times New Roman" w:hAnsi="Times New Roman"/>
          <w:sz w:val="18"/>
          <w:szCs w:val="18"/>
          <w:color w:val="auto"/>
        </w:rPr>
        <w:t>for additional details.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—As of March 31, 2026 and December 31, 2025, the Company has classified the following as restricted cash: $0.1 million related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Chinese subsidiary within “Other Non-current Assets” on the Condensed Consolidated Balance Sheets and $1.0 million related to a letter of credit within "Prepaid and Other Current Assets" on the Condensed Consolidated Balance Sheets.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Inventory and Cost of Goods Sold</w:t>
      </w:r>
      <w:r>
        <w:rPr>
          <w:rFonts w:ascii="Times New Roman" w:cs="Times New Roman" w:eastAsia="Times New Roman" w:hAnsi="Times New Roman"/>
          <w:sz w:val="18"/>
          <w:szCs w:val="18"/>
          <w:color w:val="auto"/>
        </w:rPr>
        <w:t>—The Company’s inventory consists almost entirely of finished goods. The Company currently records inventory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goods sold.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sectPr>
          <w:pgSz w:w="11900" w:h="16838" w:orient="portrait"/>
          <w:cols w:equalWidth="0" w:num="1">
            <w:col w:w="11240"/>
          </w:cols>
          <w:pgMar w:left="320" w:top="121" w:right="339" w:bottom="555"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5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are stated at historical cost less allowance for credit losses. On a periodic basis, management evaluates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credit losses. As of March 31, 2026 and December 31, 2025, the Company did not have an allowance for credit losses.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March 31, 2026 and December 31, 2025, which is included in liabilities held-for-sale on the Condensed Consolidated Balance Sheets as of March 31, 2026 and accrued and other current liabilities on the Condensed Consolidated Balance Sheets as of December 31, 2025, and represents the expected value of the refund that will be due to its customers.</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Intangibles</w:t>
      </w:r>
      <w:r>
        <w:rPr>
          <w:rFonts w:ascii="Times New Roman" w:cs="Times New Roman" w:eastAsia="Times New Roman" w:hAnsi="Times New Roman"/>
          <w:sz w:val="18"/>
          <w:szCs w:val="18"/>
          <w:color w:val="auto"/>
        </w:rPr>
        <w:t>—We review long-lived assets for impairment when performance expectations, events, or changes in circumstances indicate that the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an non-cash impairment charge of $3.4 million during the first quarter of 2026. This charge, recorded within Net Loss from Discontinued Operations on the Condensed Consolidated Statement of Operations, adjusts the carrying amount of the disposal group to its fair value less costs to sell, based on the $18.0 million cash consideration and estimated purchase price adjustments.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As of March 31, 2026 and December 31, 2025, the carrying amounts of these instruments approximated their fair values because of their short-term nature. The Company’s credit facility is carried at amortized cost at March 31, 2026 and December 31, 2025, and the carrying amount approximates fair value as the stated interest rate approximates market rates currently available to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stock purchase warrants issued in connection with the Company’s common stock offering on March 1, 2022 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480, Distinguishing Liabilities from Equity (“ASC 480”), and FASB Accounting Standards Codification Topic 815, Derivatives and Hedging (“ASC 815”). Based on the Company’s evaluation and due to certain terms in the warrant agreements, it concluded the stock purchase warrants should be classified as a liability with subsequent remeasurement as long as such warrants continue to be classified as liabilities.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of the Level 3 liabilities carried at fair value on a recurring basis for the three months ended March 31, 2026 and March 31, 2025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2026</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4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March 31, 2026</w:t>
            </w:r>
          </w:p>
        </w:tc>
        <w:tc>
          <w:tcPr>
            <w:tcW w:w="3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January 1, 2025</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liabilities as of March 31, 2025</w:t>
            </w:r>
          </w:p>
        </w:tc>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issuance of the Company's Annual Report on Form 10-K for the year ended December 31, 2025, there have been no material updates to the recent accounting pronouncement previously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FOR SALE CLASSIFICATION AND DISCONTINUED OPERATIONS PRESENTATION</w:t>
      </w:r>
    </w:p>
    <w:p>
      <w:pPr>
        <w:spacing w:after="0" w:line="2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Held for sale classification</w:t>
      </w:r>
      <w:r>
        <w:rPr>
          <w:rFonts w:ascii="Times New Roman" w:cs="Times New Roman" w:eastAsia="Times New Roman" w:hAnsi="Times New Roman"/>
          <w:sz w:val="18"/>
          <w:szCs w:val="18"/>
          <w:color w:val="auto"/>
        </w:rPr>
        <w:t>—We report and classify a business or a component of an entity as held-for-sale (Held-For-Sale Business) when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approved the sale or received approval to sell the business and is committed to a formal plan, the business is available for immediate sale, the business is being actively marketed, the sale is anticipated to occur during the next 12 months and certain other specified criteria are met. A Held-For-Sale Business is recorded at the lower of its carrying amount or estimated fair value less cost to sell. If the carrying amount of the business exceeds its estimated fair value, a loss is recognized. As of March 31, 2026, assets and liabilities related to a Held-For-Sale Business are reported in Assets held for sale and Liabilities held for sale, respectively, in our Condensed Consolidated Balance Sheets.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assets and liabilities held-for-sale on the Condensed Consolidated Balance Sheets at March 31, 2026 (in thousands):</w:t>
      </w:r>
    </w:p>
    <w:p>
      <w:pPr>
        <w:spacing w:after="0" w:line="15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ind w:left="814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March 31, 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ASSETS</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 held for 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2,352</w:t>
            </w:r>
          </w:p>
        </w:tc>
        <w:tc>
          <w:tcPr>
            <w:tcW w:w="5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12,956</w:t>
            </w: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13,724</w:t>
            </w:r>
          </w:p>
        </w:tc>
      </w:tr>
      <w:tr>
        <w:trPr>
          <w:trHeight w:val="216"/>
        </w:trPr>
        <w:tc>
          <w:tcPr>
            <w:tcW w:w="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5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r>
      <w:tr>
        <w:trPr>
          <w:trHeight w:val="234"/>
        </w:trPr>
        <w:tc>
          <w:tcPr>
            <w:tcW w:w="5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0" w:type="dxa"/>
            <w:vAlign w:val="bottom"/>
          </w:tcPr>
          <w:p>
            <w:pPr>
              <w:spacing w:after="0"/>
              <w:rPr>
                <w:sz w:val="20"/>
                <w:szCs w:val="20"/>
                <w:color w:val="auto"/>
              </w:rPr>
            </w:pPr>
          </w:p>
        </w:tc>
      </w:tr>
      <w:tr>
        <w:trPr>
          <w:trHeight w:val="228"/>
        </w:trPr>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20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-713740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-439420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-156845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-125095</wp:posOffset>
            </wp:positionV>
            <wp:extent cx="19888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660" w:space="720"/>
            <w:col w:w="7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2,573</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2,765</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5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w:t>
            </w: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Discontinued operations presentation</w:t>
      </w:r>
      <w:r>
        <w:rPr>
          <w:rFonts w:ascii="Times New Roman" w:cs="Times New Roman" w:eastAsia="Times New Roman" w:hAnsi="Times New Roman"/>
          <w:sz w:val="18"/>
          <w:szCs w:val="18"/>
          <w:color w:val="auto"/>
        </w:rPr>
        <w:t>—We present a business, or a component of an entity, as discontinued operations if a) it meets the held-for-sale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criteria, or is disposed of by sale, or is disposed of other than by sale, and b) the disposal of the business, or component of an entity, represents a strategic shift that has (or will have) a major effect on the Company's financial results. As of March 31, 2026, we have retrospectively adjusted our Condensed Consolidated Statement of Operations to reflect the classification of continuing and discontinued operations.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related to the operations of the Company that have been reflected in net loss from discontinued operations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12,414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tcPr>
          <w:p>
            <w:pPr>
              <w:spacing w:after="0"/>
              <w:rPr>
                <w:sz w:val="18"/>
                <w:szCs w:val="18"/>
                <w:color w:val="auto"/>
              </w:rPr>
            </w:pP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0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Impairment loss on intangibles</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820" w:right="20" w:hanging="488"/>
        <w:spacing w:after="0" w:line="255"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p>
      <w:pPr>
        <w:sectPr>
          <w:pgSz w:w="11900" w:h="16838" w:orient="portrait"/>
          <w:cols w:equalWidth="0" w:num="1">
            <w:col w:w="11240"/>
          </w:cols>
          <w:pgMar w:left="320" w:top="121" w:right="339" w:bottom="1440" w:gutter="0" w:footer="0" w:header="0"/>
          <w:type w:val="continuous"/>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March 31, 2026 and December 31, 2025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56"/>
        </w:trPr>
        <w:tc>
          <w:tcPr>
            <w:tcW w:w="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78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March 31, 2026 and December 31, 2025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1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freight forwarder</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and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accounting and consulting fees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 premium financing</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 fees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right="7800" w:firstLine="8"/>
        <w:spacing w:after="0" w:line="503" w:lineRule="auto"/>
        <w:tabs>
          <w:tab w:leader="none" w:pos="3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AND WARRANTS MidCap Credit Facility</w:t>
      </w: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was extended to December 2026 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the financial covenants contained within the Credit Agreement as of March 31, 2026. As of May 2, 2025, the Company had temporarily suspended its share repurchase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March 31, 2026 and December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4,449</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months ended March 31, 2026 and 2025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Warrants</w:t>
      </w:r>
    </w:p>
    <w:p>
      <w:pPr>
        <w:sectPr>
          <w:pgSz w:w="11900" w:h="16838" w:orient="portrait"/>
          <w:cols w:equalWidth="0" w:num="1">
            <w:col w:w="11240"/>
          </w:cols>
          <w:pgMar w:left="320" w:top="121" w:right="339" w:bottom="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the Company raised approximately $27.5 million through a private placement involving common stock and accompanying stock purchase warrants. The 590,637 common stock warrants issued in the transaction were classified as liabilities with subsequent remeasurement each quarter. As of March 31, 2026, these warrants remain outstanding and have no associated liability recorded on the Company’s Condensed Consolidated Balance Sheet due to the decline in the Company’s share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equity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Aterian Group, Inc., (the “Board”)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2026, there were no shares reserved for future issuance under the Aterian 2014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adopted the Aterian, Inc. 2018 Equity Incentive Plan (the “2018 Plan”) on October 11, 2018. The 2018 Plan was approved by its stockholders on May 24, 2019. As of March 31, 2026, 38,216 shares were reserved for awards available for future issuance under the 2018 Plan.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March 31, 2026, 193,473 shares were reserved for future issuance under the Inducement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6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 Life</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13,051</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11,287</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6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1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11,287</w:t>
            </w:r>
          </w:p>
        </w:tc>
        <w:tc>
          <w:tcPr>
            <w:tcW w:w="3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108.00</w:t>
            </w:r>
          </w:p>
        </w:tc>
        <w:tc>
          <w:tcPr>
            <w:tcW w:w="15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2.69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11,287</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all options have been fully expensed.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award activity within the Company’s equity plans and changes for the three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788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1,338,100</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823,180</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(426,286)</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gridSpan w:val="2"/>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(31,316)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1,703,678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expense related to unvested shares of restricted common stock was $1.8 million, which the Company expects to recognize over an estimated weighted-average period of 2.1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During the three months ended March 31, 2026 and 2025, $0.4 million and $0.6 million of stock-based compensation were included in general and administrative expenses on the Condensed Consolidated Statement of Operations and $0.1 million and $0.2 million of stock-based compensation were included within discontinued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 diluted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7,452,957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per share, basic and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 shares)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2,962,592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1,933,242</w:t>
            </w: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March 31, 2026 and December 31, 2025, the Company estimates that the potential liability, including current sales tax payable is approximately $0.9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—From time to time, the Company is party to various actions and claims arising in the normal course of business. The Company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Product Remediation Costs</w:t>
      </w:r>
      <w:r>
        <w:rPr>
          <w:rFonts w:ascii="Times New Roman" w:cs="Times New Roman" w:eastAsia="Times New Roman" w:hAnsi="Times New Roman"/>
          <w:sz w:val="18"/>
          <w:szCs w:val="18"/>
          <w:color w:val="auto"/>
        </w:rPr>
        <w:t>—During the year ended December 31, 2025, the Company accrued approximately $0.4 million for estimated costs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addressing a product performance matter involving certain houseware appliances that the Company ceased selling during the year ended December 31, 2024. These costs were included in cost of goods sold on the Consolidated Statement of Operations. As of March 31, 2026, the Company had a liability of $0.4 million for product remediation costs, which are included in accrued and other current liabilities on the Condensed Consolidated Balance Sheet.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2026, we announced a voluntary recall in coordination with the U.S. Consumer Product Safety Commission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14, 2025, the Company announced a fixed cost reduction plan, which included a workforce reduction affecting approximately 20 employees. The Company had substantially completed this reduction as of the year ended December 31, 2025. In connection with this plan, the Company recognized restructuring charges of approximately $1.9 million, of which $1.1 million is recorded in Sales and Distribution expenses and $0.8 million is recorded in General and Administrative expenses, primarily related to severance, during the year ended December 31, 2025. Severance payments are expected to be made through the second quarter of 2026.</w:t>
      </w:r>
    </w:p>
    <w:p>
      <w:pPr>
        <w:spacing w:after="0" w:line="18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January 2026, the Company implemented a fixed cost reduction plan that included a workforce reduction affecting approximately 16 employees and independent contractors. The Company has substantially completed this reduction as of March 31, 2026. In connection with this plan, the Company recognized restructuring charges of approximately $0.3 million, which is recorded in Sales and Distribution expenses, primarily related to severance, during the three months ended March 31, 2026. Severance payments are expected to be made through the second quarter of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for the restructuring costs follows the provisions of ASC 420,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total restructuring reserve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Usage-cash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180" w:hanging="1173"/>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w:t>
      </w:r>
    </w:p>
    <w:p>
      <w:pPr>
        <w:spacing w:after="0" w:line="22"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(419)</w:t>
      </w:r>
    </w:p>
    <w:p>
      <w:pPr>
        <w:spacing w:after="0" w:line="23" w:lineRule="exact"/>
        <w:rPr>
          <w:sz w:val="20"/>
          <w:szCs w:val="20"/>
          <w:color w:val="auto"/>
        </w:rPr>
      </w:pPr>
    </w:p>
    <w:p>
      <w:pPr>
        <w:ind w:left="1180" w:hanging="1173"/>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22860</wp:posOffset>
            </wp:positionV>
            <wp:extent cx="916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a liability of $0.1 million and $0.5 million for restructuring costs, respectively, which are included in accrued and other current liabilities on the Condensed Consolidated Balance Sheet.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continue to assess the restructuring plan's progress and provide updates as required in future financial statements if there are material changes to the initial estimates or additional significant restructuring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goods sold, variable sales costs, and other vendor and payroll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vendor and payroll expenses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800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(1)</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160" w:firstLine="152"/>
        <w:spacing w:after="0" w:line="514" w:lineRule="auto"/>
        <w:tabs>
          <w:tab w:leader="none" w:pos="41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income taxes, interest expense, other income, and the change in fair value of warrant liabilities. The CODM does not use total assets as a financial metric when making key operating decisions.</w:t>
      </w: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sources a considerable amount of its consumer products from China and has historically been subject to significant Section 301 customs duties. On May 11, 2026, the Company received $1.2 million in cash proceeds related to the formal claims filed on April 20, 2026, for the recovery of Section 301 customs duties previously paid on consumer products sourced from China. While the Company has successfully realized this initial portion of its claims, the remaining balance of the recovery is still subject to government audit and administrative approval. Although the Company continues to expect the receipt of additional funds by the third quarter of 2026, there is no guarantee as to the final timing or the total amount that will be realized. Since the full realization of the remaining claims is not yet considered certain, the Company has not recorded the outstanding potential recovery as a receivable on the Condensed Consolidated Balance Sheet as of March 31, 2026, but will recognize the $1.2 million as a gain in the second quarter of 2026.</w:t>
      </w:r>
    </w:p>
    <w:p>
      <w:pPr>
        <w:spacing w:after="0" w:line="18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On March 6, 2026, a class action complaint was filed alleging that certain steamer products suffered from malfunctions that caused the units to propel scalding water during normal use. 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spacing w:after="0" w:line="17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On December 9, 2025, the Company received a notice from Nasdaq stating that it was not in compliance with the $1.00 minimum bid price requirement. 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consolidated financial statements and related notes thereto for the year ended December 31, 2025 included in our Annual Report on Form 10-K for the year ended December 31, 2025 as filed with the Securities and Exchange Commission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on March 20, 2026. As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 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those discussed in the section titled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under Part II, Item 1A in this 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 on Form 10-Q.</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Aterian,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Quarterly Report on Form 10-Q refer to Aterian, Inc. and our consolidated subsidiaries, including Aterian Group,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Target.com and our own websites, with the large majority of our sales being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Book value of 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2025, the U.S. government announced a series of new tariff policies affecting imports from several countries, including China. While these actions impact a range of global trade flows, the new tariffs targeting imports from China are the most significant for our business. As a result of these tariffs, we experienced an increase in our cost of goods sold during the year ended December 31, 2025 and the quarter ended March 31, 2026. In response, we implemented targeted price increases across affected product categories to partially offset the higher input costs. These pricing actions, however, contributed to a decline in unit volumes as consumer demand responded to the higher retail prices.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continue to evaluate additional structural and operational measures to further reduce tariff-related exposure.</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Sales and Distribution Expenses</w:t>
      </w:r>
      <w:r>
        <w:rPr>
          <w:rFonts w:ascii="Times New Roman" w:cs="Times New Roman" w:eastAsia="Times New Roman" w:hAnsi="Times New Roman"/>
          <w:sz w:val="18"/>
          <w:szCs w:val="18"/>
          <w:color w:val="auto"/>
        </w:rPr>
        <w:t>—Sales and distribution expenses consist of online advertising costs, marketing and promotional costs,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ecommerce platform commissions, fulfillment, including shipping and handling, and warehouse costs (i.e., sales and distribution variable expenses). Sales and distribution expenses also include employee cash and stock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cash and stock compensation and employee benefits for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finance administration, legal,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includes amortization of deferred finance costs and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discounts from our credit facility (the “Credit Facility”) with MidCap Funding IV Trust (“MidCap”).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27, 2026, the Company entered into a series of definitive agreements (collectively, the “Aterian Transactions”) to fundamentally restructure its operations and capital position. The Company entered into a definitive Asset Purchase Agreement (the “Asset Purchase Agreement”) with Trademark Global, LLC (“Trademark Global”), marking a significant strategic shift in our business model. Pursuant to this agreement, Trademark Global will acquire substantially all assets and certain liabilities associated with our marquee brands—Mueller Living, PurSteam, hOmeLabs, Squatty Potty, Healing Solutions, and Photo Paper Direct—for $18 million in cash, subject to customary adjustments (the “Asset Sale”).</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these marquee brands represent a major portion of the Company’s historical operations and strategic direction, the results of these brands have been classified as discontinued operations in the consolidated financial statements for all periods presented. Following the closing of the Asset Sale, the Company expects to continue operating its remaining legacy brands, including Vremi and Xtava.</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conjunction with the Asset Sale, the Company also entered into a Securities Purchase Agreement with David E. Lazar for the issuance of Series AA and Series AAA Preferred Stock for aggregate gross proceeds of $7.0 million. This capital infusion, combined with the proceeds from the Asset Sale, is intended to restructure the Company’s balance sheet.</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 provide a meaningful comparison of our ongoing business performance, the following discussion separately analyzes the results of our continuing operations and the impact of the discontinued operations for the periods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continuing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 sold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distribution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707.2%</w:t>
            </w:r>
          </w:p>
        </w:tc>
      </w:tr>
      <w:tr>
        <w:trPr>
          <w:trHeight w:val="216"/>
        </w:trPr>
        <w:tc>
          <w:tcPr>
            <w:tcW w:w="59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(3,435</w:t>
            </w:r>
            <w:r>
              <w:rPr>
                <w:rFonts w:ascii="Times New Roman" w:cs="Times New Roman" w:eastAsia="Times New Roman" w:hAnsi="Times New Roman"/>
                <w:sz w:val="24"/>
                <w:szCs w:val="24"/>
                <w:color w:val="auto"/>
                <w:vertAlign w:val="subscript"/>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(3,419</w:t>
            </w:r>
            <w:r>
              <w:rPr>
                <w:rFonts w:ascii="Times New Roman" w:cs="Times New Roman" w:eastAsia="Times New Roman" w:hAnsi="Times New Roman"/>
                <w:sz w:val="24"/>
                <w:szCs w:val="24"/>
                <w:color w:val="auto"/>
                <w:vertAlign w:val="subscript"/>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2.0</w:t>
            </w:r>
            <w:r>
              <w:rPr>
                <w:rFonts w:ascii="Times New Roman" w:cs="Times New Roman" w:eastAsia="Times New Roman" w:hAnsi="Times New Roman"/>
                <w:sz w:val="24"/>
                <w:szCs w:val="24"/>
                <w:color w:val="auto"/>
                <w:vertAlign w:val="subscript"/>
              </w:rPr>
              <w:t>%</w:t>
            </w:r>
          </w:p>
        </w:tc>
      </w:tr>
      <w:tr>
        <w:trPr>
          <w:trHeight w:val="20"/>
        </w:trPr>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60" w:hanging="488"/>
        <w:spacing w:after="0" w:line="282" w:lineRule="auto"/>
        <w:tabs>
          <w:tab w:leader="none" w:pos="8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During the three months ended March 31, 2026 and 2025, $0.4 million and $0.6 million of stock-based compensation were included in general and administrative expenses on the Condensed Consolidated Statement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decreased $45 thousand, or 72%, during the three months ended March 31, 2026 to $18 thousand, compared to $63 thousand for the three months ended March 31, 2025. The decrease in net revenue was primarily attributable to reduction in consumer demand due to the macroeconomic environment.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tc>
        <w:tc>
          <w:tcPr>
            <w:tcW w:w="2660" w:type="dxa"/>
            <w:vAlign w:val="bottom"/>
            <w:gridSpan w:val="7"/>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660" w:type="dxa"/>
            <w:vAlign w:val="bottom"/>
            <w:gridSpan w:val="7"/>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0"/>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decreased $5 thousand, or 40.2%, during the three months ended March 31, 2026 to $8 thousand, compared to $13 thousand for the three months ended March 31, 2025, primarily from reduced sales volumes.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to 56.7% for the three months ended March 31, 2026 from 79.9% for the three months ended March 31, 2025. The decrease in gross profit was due primarily to product mix.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tc>
        <w:tc>
          <w:tcPr>
            <w:tcW w:w="2660" w:type="dxa"/>
            <w:vAlign w:val="bottom"/>
            <w:gridSpan w:val="7"/>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660" w:type="dxa"/>
            <w:vAlign w:val="bottom"/>
            <w:gridSpan w:val="7"/>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4"/>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0"/>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distribution expenses increased to $0.3 million for the three months ended March 31, 2026, from $37 thousand for the three months ended March 31, 2025. This increase is primarily attributable to severance relating to our January 2026 workforce reduction of $0.3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120" w:type="dxa"/>
            <w:vAlign w:val="bottom"/>
          </w:tcPr>
          <w:p>
            <w:pPr>
              <w:spacing w:after="0"/>
              <w:rPr>
                <w:sz w:val="20"/>
                <w:szCs w:val="20"/>
                <w:color w:val="auto"/>
              </w:rPr>
            </w:pPr>
          </w:p>
        </w:tc>
        <w:tc>
          <w:tcPr>
            <w:tcW w:w="25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the result of a decrease of $0.3 million in headcount expense, a decrease of $0.3 million in miscellaneous expenses, and a decrease of $0.2 million in stock-compensation expense, partially offset by an increase of $0.4 million in professional fees.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2660" w:type="dxa"/>
            <w:vAlign w:val="bottom"/>
            <w:gridSpan w:val="7"/>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660" w:type="dxa"/>
            <w:vAlign w:val="bottom"/>
            <w:gridSpan w:val="7"/>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4"/>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0"/>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net of $0.1 million is primarily relating to amortized fees of $69 thousand associated with the March 2026 amendment to lower the liquidity covenant and a decrease in interest income of $38 thousand partially offset by lower borrowings in the current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liabilities</w:t>
            </w:r>
          </w:p>
        </w:tc>
        <w:tc>
          <w:tcPr>
            <w:tcW w:w="2660" w:type="dxa"/>
            <w:vAlign w:val="bottom"/>
            <w:gridSpan w:val="6"/>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66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4"/>
              </w:rPr>
              <w:t>(in thousands,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90"/>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liabilities</w:t>
            </w: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2026 and 2025 activity is related to the change in fair market value of the warrant liabilities from the common stock warrants from our March 2022 equity raise of capital. The change in fair value of warrant liabilities during the three months ending March 31, 2026 primarily relates to the reduced share price compared to the prior period.</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discontinued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 sold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Sales and distribution</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on intangibles (2)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3"/>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5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(2,221)</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780" w:right="60" w:hanging="448"/>
        <w:spacing w:after="0" w:line="261"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and 2025, $0.1 million and $0.2 million of stock-based compensation were included within Loss from Discontinued Operations on the Condensed Consolidated Statement of Operations.</w:t>
      </w:r>
    </w:p>
    <w:p>
      <w:pPr>
        <w:ind w:left="780" w:right="60" w:hanging="448"/>
        <w:spacing w:after="0" w:line="243" w:lineRule="auto"/>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Wholesale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(2,883)</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decreased $2.9 million, or 18.8%, during the three months ended March 31, 2026 to $12.4 million, compared to $15.3 million for the three months ended March 31, 2025. The decrease in net revenue was primarily attributable to the newly implemented tariffs which increased our cost of goods sold, prompting us to raise prices to mitigate the impact. These pricing actions, combined with the broader challenging macroeconomic environment, led to a reduction in unit volume as consumer demand softened at elevated price levels.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tc>
        <w:tc>
          <w:tcPr>
            <w:tcW w:w="120" w:type="dxa"/>
            <w:vAlign w:val="bottom"/>
          </w:tcPr>
          <w:p>
            <w:pPr>
              <w:spacing w:after="0"/>
              <w:rPr>
                <w:sz w:val="20"/>
                <w:szCs w:val="20"/>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decreased $1.5 million, or 25.1%, during the three months ended March 31, 2026 to $4.4 million, compared to $5.9 million for the three months ended March 31, 2025, primarily from reduced sales volumes.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to 64.3% for the three months ended March 31, 2026 from 60.9% for the three months ended March 31, 2025. The increase in gross profit was due primarily to product mix and higher average sales prices on certain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tc>
        <w:tc>
          <w:tcPr>
            <w:tcW w:w="120" w:type="dxa"/>
            <w:vAlign w:val="bottom"/>
          </w:tcPr>
          <w:p>
            <w:pPr>
              <w:spacing w:after="0"/>
              <w:rPr>
                <w:sz w:val="20"/>
                <w:szCs w:val="20"/>
                <w:color w:val="auto"/>
              </w:rPr>
            </w:pPr>
          </w:p>
        </w:tc>
        <w:tc>
          <w:tcPr>
            <w:tcW w:w="254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2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(2,437)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$7.2 million for the three months ended March 31, 2026, from $9.7 million for the three months ended March 31, 2025. This decrease is primarily attributable to the decrease in the volume of products sold in the three months ended March 31, 2026, as our e-commerce platform commissions, online advertising, selling and logistics expenses decreased to $6.0 million in the three months ended March 31, 2026 as compared to $7.3 million in the prior year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including stock-based compensation decreased to $1.2 million for the three months ended March 31, 2026, from $2.3 million for the three months ended March 31, 2025. This decrease is primarily attributable to lower headcount expense of $0.6 million, lower miscellaneous expenses of $0.4 million, and lower stock-compensation expense of $0.1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to 58% for the three months ended March 31, 2026, from 63% for the three months ended March 31, 2025. E-commerce platform commissions, online advertising, selling and logistics expenses included within sales and distribution expenses, as a percentage of net revenue, stayed consistent at 48% for the three months ended March 31, 2026 and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66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4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general and administrative expenses was primarily the result of a decrease of $40 thousand in logistics software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intangibles</w:t>
            </w:r>
          </w:p>
        </w:tc>
        <w:tc>
          <w:tcPr>
            <w:tcW w:w="100" w:type="dxa"/>
            <w:vAlign w:val="bottom"/>
          </w:tcPr>
          <w:p>
            <w:pPr>
              <w:spacing w:after="0"/>
              <w:rPr>
                <w:sz w:val="20"/>
                <w:szCs w:val="20"/>
                <w:color w:val="auto"/>
              </w:rPr>
            </w:pPr>
          </w:p>
        </w:tc>
        <w:tc>
          <w:tcPr>
            <w:tcW w:w="2740" w:type="dxa"/>
            <w:vAlign w:val="bottom"/>
            <w:gridSpan w:val="5"/>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gridSpan w:val="6"/>
          </w:tcPr>
          <w:p>
            <w:pPr>
              <w:jc w:val="center"/>
              <w:ind w:right="3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p>
      <w:pPr>
        <w:sectPr>
          <w:pgSz w:w="11900" w:h="16838" w:orient="portrait"/>
          <w:cols w:equalWidth="0" w:num="1">
            <w:col w:w="11240"/>
          </w:cols>
          <w:pgMar w:left="320" w:top="108" w:right="339" w:bottom="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used in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restricted cash for the period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2"/>
              <w:spacing w:after="0" w:line="210" w:lineRule="exact"/>
              <w:rPr>
                <w:sz w:val="20"/>
                <w:szCs w:val="20"/>
                <w:color w:val="auto"/>
              </w:rPr>
            </w:pPr>
            <w:r>
              <w:rPr>
                <w:rFonts w:ascii="Times New Roman" w:cs="Times New Roman" w:eastAsia="Times New Roman" w:hAnsi="Times New Roman"/>
                <w:sz w:val="15"/>
                <w:szCs w:val="15"/>
                <w:b w:val="1"/>
                <w:bCs w:val="1"/>
                <w:color w:val="auto"/>
              </w:rPr>
              <w:t>2026</w:t>
            </w:r>
            <w:r>
              <w:rPr>
                <w:rFonts w:ascii="Times New Roman" w:cs="Times New Roman" w:eastAsia="Times New Roman" w:hAnsi="Times New Roman"/>
                <w:sz w:val="24"/>
                <w:szCs w:val="24"/>
                <w:b w:val="1"/>
                <w:bCs w:val="1"/>
                <w:color w:val="auto"/>
                <w:vertAlign w:val="superscript"/>
              </w:rPr>
              <w:t>(1)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2"/>
              <w:spacing w:after="0" w:line="210" w:lineRule="exact"/>
              <w:rPr>
                <w:sz w:val="20"/>
                <w:szCs w:val="20"/>
                <w:color w:val="auto"/>
              </w:rPr>
            </w:pPr>
            <w:r>
              <w:rPr>
                <w:rFonts w:ascii="Times New Roman" w:cs="Times New Roman" w:eastAsia="Times New Roman" w:hAnsi="Times New Roman"/>
                <w:sz w:val="15"/>
                <w:szCs w:val="15"/>
                <w:b w:val="1"/>
                <w:bCs w:val="1"/>
                <w:color w:val="auto"/>
              </w:rPr>
              <w:t>2025</w:t>
            </w:r>
            <w:r>
              <w:rPr>
                <w:rFonts w:ascii="Times New Roman" w:cs="Times New Roman" w:eastAsia="Times New Roman" w:hAnsi="Times New Roman"/>
                <w:sz w:val="24"/>
                <w:szCs w:val="24"/>
                <w:b w:val="1"/>
                <w:bCs w:val="1"/>
                <w:color w:val="auto"/>
                <w:vertAlign w:val="superscript"/>
              </w:rPr>
              <w:t>(1)</w:t>
            </w:r>
          </w:p>
        </w:tc>
        <w:tc>
          <w:tcPr>
            <w:tcW w:w="60" w:type="dxa"/>
            <w:vAlign w:val="bottom"/>
          </w:tcPr>
          <w:p>
            <w:pPr>
              <w:spacing w:after="0"/>
              <w:rPr>
                <w:sz w:val="18"/>
                <w:szCs w:val="18"/>
                <w:color w:val="auto"/>
              </w:rPr>
            </w:pPr>
          </w:p>
        </w:tc>
      </w:tr>
      <w:tr>
        <w:trPr>
          <w:trHeight w:val="191"/>
        </w:trPr>
        <w:tc>
          <w:tcPr>
            <w:tcW w:w="280" w:type="dxa"/>
            <w:vAlign w:val="bottom"/>
          </w:tcPr>
          <w:p>
            <w:pPr>
              <w:spacing w:after="0"/>
              <w:rPr>
                <w:sz w:val="16"/>
                <w:szCs w:val="16"/>
                <w:color w:val="auto"/>
              </w:rPr>
            </w:pPr>
          </w:p>
        </w:tc>
        <w:tc>
          <w:tcPr>
            <w:tcW w:w="1200" w:type="dxa"/>
            <w:vAlign w:val="bottom"/>
          </w:tcPr>
          <w:p>
            <w:pPr>
              <w:jc w:val="right"/>
              <w:ind w:right="152"/>
              <w:spacing w:after="0" w:line="191" w:lineRule="exact"/>
              <w:rPr>
                <w:sz w:val="20"/>
                <w:szCs w:val="20"/>
                <w:color w:val="auto"/>
              </w:rPr>
            </w:pPr>
            <w:r>
              <w:rPr>
                <w:rFonts w:ascii="Times New Roman" w:cs="Times New Roman" w:eastAsia="Times New Roman" w:hAnsi="Times New Roman"/>
                <w:sz w:val="18"/>
                <w:szCs w:val="18"/>
                <w:i w:val="1"/>
                <w:iCs w:val="1"/>
                <w:color w:val="auto"/>
              </w:rPr>
              <w:t>(in</w:t>
            </w:r>
          </w:p>
        </w:tc>
        <w:tc>
          <w:tcPr>
            <w:tcW w:w="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i w:val="1"/>
                <w:iCs w:val="1"/>
                <w:color w:val="auto"/>
                <w:w w:val="73"/>
              </w:rPr>
              <w:t>thousands)</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16"/>
        </w:trPr>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60" w:type="dxa"/>
            <w:vAlign w:val="bottom"/>
          </w:tcPr>
          <w:p>
            <w:pPr>
              <w:spacing w:after="0"/>
              <w:rPr>
                <w:sz w:val="18"/>
                <w:szCs w:val="18"/>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ind w:left="820" w:right="180" w:hanging="488"/>
        <w:spacing w:after="0" w:line="284"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amounts from discontinued operations, please see Note 3, </w:t>
      </w:r>
      <w:r>
        <w:rPr>
          <w:rFonts w:ascii="Times New Roman" w:cs="Times New Roman" w:eastAsia="Times New Roman" w:hAnsi="Times New Roman"/>
          <w:sz w:val="18"/>
          <w:szCs w:val="18"/>
          <w:i w:val="1"/>
          <w:iCs w:val="1"/>
          <w:color w:val="auto"/>
        </w:rPr>
        <w:t>Held for Sale Classification and Discontinued Operations Presentation</w:t>
      </w:r>
      <w:r>
        <w:rPr>
          <w:rFonts w:ascii="Times New Roman" w:cs="Times New Roman" w:eastAsia="Times New Roman" w:hAnsi="Times New Roman"/>
          <w:sz w:val="18"/>
          <w:szCs w:val="18"/>
          <w:color w:val="auto"/>
        </w:rPr>
        <w:t xml:space="preserve"> for additional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$0.4 million for the three months ended March 31, 2026, primarily driven by net cash losses from operations of $2.0 million and a $1.6 million inflow from changes in working capital, mainly related to changes in accounts receivable, purchases of inventory, and payments of accounts payable.</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$3.9 million for the three months ended March 31, 2025, resulting primarily from our net cash losses from operations of $2.9 million, outflow from working capital of $1.0 million from changes in accounts receivable, purchases of inventory and payments of accounts payable. The working capital outflow primarily relates to purchases of our air quality products for the summer season.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was $4 thousand, primarily related to the purchase of fixed assets during the three months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no cash was used in investing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cash used in financing activities of $2.1 million primarily from the net repayments for our MidCap credit facility of $1.8 million and payment of insurance obligations of $0.3 million.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provided by financing activities of $0.4 million was primarily from the net borrowings for our MidCap credit facility of $0.5 million and payment of insurance obligations of $0.1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April 27, 2026, the Company entered into a series of definitive agreements (collectively, the “Aterian Transactions”) to fundamentally restructure its operations and capital position. Under the terms of an Asset Purchase Agreement with Trademark Global, LLC, the Company agreed to sell its marquee brands, including Mueller Living, PurSteam, hOmeLabs, Squatty Potty, Healing Solutions, and Photo Paper Direct, for $18 million in cash less transaction related costs. Simultaneously, the Company entered into a Securities Purchase Agreement with David E. Lazar for the issuance of Series AA and Series AAA Preferred Stock for aggregate gross proceeds of $7.0 million.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the closing of these transactions, Mr. Lazar will hold approximately 95.13% of the Company’s fully diluted share capitalization. Management intends to utilize the proceeds from these transactions to satisfy existing debt obligations and provide working capital for our core ongoing business segments, which include the Vremi and Xtava brands. Following the change in control, the Company intends to leverage its retained assets and operational infrastructure to pursue a streamlined growth strategy.</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accordance with ASC 205-40, Going Concern, management evaluated whether there are conditions and events that raise substantial doubt about the Company’s ability to continue as a going concern within one year after the date these Condensed Consolidated Financial Statements are issued.</w:t>
      </w:r>
    </w:p>
    <w:p>
      <w:pPr>
        <w:spacing w:after="0" w:line="162" w:lineRule="exact"/>
        <w:rPr>
          <w:sz w:val="20"/>
          <w:szCs w:val="20"/>
          <w:color w:val="auto"/>
        </w:rPr>
      </w:pPr>
    </w:p>
    <w:p>
      <w:pPr>
        <w:ind w:left="940" w:right="80" w:hanging="325"/>
        <w:spacing w:after="0" w:line="255"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inception, we have incurred significant losses and used cash flows from operations to fund our enterprise. To preserve liquidity, we implemented fixed cost reduction plans in May 2025 and January 2026, resulting in a significant reduction in operating expenses. While these actions reduced our operating footprint, they were insufficient to offset macroeconomic pressures, such as tariffs and reduced consumer spending, necessitating the Aterian Transactions.</w:t>
      </w:r>
    </w:p>
    <w:p>
      <w:pPr>
        <w:spacing w:after="0" w:line="2" w:lineRule="exact"/>
        <w:rPr>
          <w:rFonts w:ascii="Times New Roman" w:cs="Times New Roman" w:eastAsia="Times New Roman" w:hAnsi="Times New Roman"/>
          <w:sz w:val="18"/>
          <w:szCs w:val="18"/>
          <w:color w:val="auto"/>
        </w:rPr>
      </w:pPr>
    </w:p>
    <w:p>
      <w:pPr>
        <w:ind w:left="940" w:right="60" w:hanging="325"/>
        <w:spacing w:after="0" w:line="250"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Aterian Transactions is subject to significant conditions, most notably the receipt of stockholder approval for the Asset Sale and the issuance of common stock upon conversion of the Preferred Stock. Furthermore, the Asset Sale is contingent upon the Company achieving specific contribution margin targets. We intend to hold a special meeting of stockholders no later than July 20, 2026, to seek these approvals.</w:t>
      </w:r>
    </w:p>
    <w:p>
      <w:pPr>
        <w:spacing w:after="0" w:line="1" w:lineRule="exact"/>
        <w:rPr>
          <w:rFonts w:ascii="Times New Roman" w:cs="Times New Roman" w:eastAsia="Times New Roman" w:hAnsi="Times New Roman"/>
          <w:sz w:val="18"/>
          <w:szCs w:val="18"/>
          <w:color w:val="auto"/>
        </w:rPr>
      </w:pPr>
    </w:p>
    <w:p>
      <w:pPr>
        <w:ind w:left="940" w:right="240" w:hanging="325"/>
        <w:spacing w:after="0" w:line="250"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global political instabilities, specifically the Iran conflict, are expected to result in higher costs for raw materials, energy, and transportation in the near term. These disruptions are anticipated to increase our cost of goods sold and have already contributed to higher marketplace fees due to rising oil prices. Such external pressures continue to negatively impact our operating results and cash flows, further underscoring the necessity of the Aterian Transactions to stabilize our capital position.</w:t>
      </w:r>
    </w:p>
    <w:p>
      <w:pPr>
        <w:spacing w:after="0" w:line="1" w:lineRule="exact"/>
        <w:rPr>
          <w:rFonts w:ascii="Times New Roman" w:cs="Times New Roman" w:eastAsia="Times New Roman" w:hAnsi="Times New Roman"/>
          <w:sz w:val="18"/>
          <w:szCs w:val="18"/>
          <w:color w:val="auto"/>
        </w:rPr>
      </w:pPr>
    </w:p>
    <w:p>
      <w:pPr>
        <w:ind w:left="940" w:right="40" w:hanging="325"/>
        <w:spacing w:after="0" w:line="251"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 Credit and Security Agreement with MidCap Funding IV Trust. 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 While we were in compliance with our financial covenants as of March 31, 2026, our ability to maintain compliance beyond the current waiver period and meet future obligations is significantly dependent upon the successful closing of the Asset Sale and the Stock Sale.</w:t>
      </w:r>
    </w:p>
    <w:p>
      <w:pPr>
        <w:spacing w:after="0" w:line="1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Management’s plan to alleviate substantial doubt is centered on the consummation of the Aterian Transactions. If the Company is unable to obtain stockholder approval, or if the transactions otherwise fail to close, management may be required to implement alternative strategies. These may include seeking other strategic buyers, attempting to secure alternative high-cost financing, or a further drastic reduction in our operating footprint.</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Furthermore, if the transactions are terminated under certain circumstances, the Company may be required to pay a termination fee of $1.1 million and reimburse expenses up to $0.6 million, which would further adversely impact our liquidity.</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the closing of the Aterian Transactions is subject to factors outside of the Company’s direct control, such as stockholder approval, management has concluded that these uncertainties raise substantial doubt about the Company’s ability to continue as a going concern. The accompanying Condensed Consolidated Financial Statements do not include any adjustments that might result from the outcome of this uncertainty.</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On December 9, 2025, the Company received a letter from the Listing Qualifications Staff of The Nasdaq Stock Market LLC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indicating that, based upon the closing bid price of the Company’s common stock, par value $0.0001 per share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Common Stock on The Nasdaq Capital Market, and, therefore, the Company's listing remains fully effective.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sectPr>
          <w:pgSz w:w="11900" w:h="16838" w:orient="portrait"/>
          <w:cols w:equalWidth="0" w:num="1">
            <w:col w:w="11240"/>
          </w:cols>
          <w:pgMar w:left="320" w:top="121" w:right="339" w:bottom="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MidCap Credit Facility</w:t>
      </w:r>
      <w:r>
        <w:rPr>
          <w:rFonts w:ascii="Times New Roman" w:cs="Times New Roman" w:eastAsia="Times New Roman" w:hAnsi="Times New Roman"/>
          <w:sz w:val="18"/>
          <w:szCs w:val="18"/>
          <w:color w:val="auto"/>
        </w:rPr>
        <w:t>—On December 22, 2021, we entered into a Credit Facility with MidCap, pursuant to which, among other things, (i)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Consolidated Financial Statements were issued.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2025 (the “Third Amendment Effective Date”) the Company entered into Amendment No. 3 (the “3rd Amendment”) to the Credit Agreement. Material changes contained in the 3rd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 On August 29, 2025 (the “Fourth Amendment Effective Date”) the Company entered into Amendment No. 4 to the Credit Agreement. Material changes contained in Amendment No. 4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13, 2026 (the "Fifth Amendment Effective Date"),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balance on the MidCap credit facility as of March 31, 2026 and December 31, 2025 was $2.5 million and $4.3 million, respectively. The Company had $1.1 million availability on the Midcap credit facility as of March 31, 2026. We are in compliance with the financial covenants contained within the Credit Agreement as of March 31, 2026.</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On March 14, 2025, the Board of Directors authorized a share repurchase program to acquire up to $3.0 million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As of May 2, 2025, the Company had temporarily suspended its share repurchase program.</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Trade Policy—</w:t>
      </w:r>
      <w:r>
        <w:rPr>
          <w:rFonts w:ascii="Times New Roman" w:cs="Times New Roman" w:eastAsia="Times New Roman" w:hAnsi="Times New Roman"/>
          <w:sz w:val="18"/>
          <w:szCs w:val="18"/>
          <w:color w:val="auto"/>
        </w:rPr>
        <w:t>During 2025, the U.S. government announced a series of new tariff policies affecting imports from several countries, including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these actions impact a range of global trade flows, the new tariffs targeting imports from China are the most significant for our business. As a result of these tariffs, we experienced an increase in our cost of goods sold during the quarter ended March 31, 2026. In response, we implemented targeted price increases across affected product categories to partially offset the higher input costs. These pricing actions, however, contributed to a decline in unit volumes as consumer demand responded to the higher retail prices.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have implemented a range of mitigation strategies to address the impact of these tariffs on our supply chain and margins. These efforts include diversifying sourcing outside of China, renegotiating supplier terms, redesigning certain products to reduce tariff exposure, and implementing selective price increases where appropriate. We continue to evaluate additional structural and operational measures to further reduce tariff-related exposure.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27, 2026, the Company entered into an Asset Purchase Agreement with Trademark Global, LLC, to sell the assets and liabilities associated with our marquee brands, including Mueller Living, PurSteam, hOmeLabs, Squatty Potty, Healing Solutions, and Photo Paper Direct. As these brands represented the substantial majority of our historical consolidated operations, their results are now classified as discontinued operations for all periods presented.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Consequently, management believes that historical Non-GAAP financial measures previously disclosed, including Adjusted EBITDA and Contribution Margin, no longer provide a meaningful basis for evaluating the Company’s ongoing performance or future prospects. Our remaining continuing operations consist primarily of smaller legacy brands, such as Vremi and Xtava, and residual corporate activities. Given this fundamental shift in our business profile and the ongoing transition of our leadership and capital structure, we have elected to omit the presentation of these Non-GAAP measures for the current period.</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intend to re-evaluate our performance metrics as our remaining operations evolve and will provide updated disclosures if management determines that such measures provide useful information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in our Form 10-K for the fiscal year ended December 31, 2025, the discussion and analysis of our financial condition and results of operations are based upon our consolidated financial statements, which have been prepared in conformity with generally accepted accounting principles in the United States of America (“US GAAP”).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There have been no significant changes to the Company’s accounting policies subsequent to December 31, 2025.</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Intangible asset valuation</w:t>
      </w:r>
      <w:r>
        <w:rPr>
          <w:rFonts w:ascii="Times New Roman" w:cs="Times New Roman" w:eastAsia="Times New Roman" w:hAnsi="Times New Roman"/>
          <w:sz w:val="18"/>
          <w:szCs w:val="18"/>
          <w:color w:val="auto"/>
        </w:rPr>
        <w:t>—We review long-lived assets for impairment when performance expectations, events, or changes in circumstances indicate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27, 2026, the Company entered into a definitive Asset Purchase Agreement with Trademark Global, LLC, to sell certain marquee brands for $18 million in cash. Based on the definitive deal terms, specifically the $18.0 million base purchase price and the estimated purchase price adjustments, the Company evaluated the carrying value of its brand intangible assets. The Company determined that the estimated allocated proceeds from the Asset Purchase Agreement were lower than the carrying values for certain definite-lived brand assets. Accordingly, the Company recorded a non-cash impairment charge of $3.4 million during the first quarter of 2026. This charge, recorded within Loss from Discontinued Operations on the Condensed Consolidated Statement of Operations, adjusts the carrying amount of the disposal group to its fair value less costs to sell, based on the $18.0 million cash consideration and estimated purchase price adjustments.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future operating efficiencies, and strategic alternative processes.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Chief Executive Officer and Chief Financial Officer concluded that our disclosure controls and procedures were effective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Aterian Transactions are subject to significant conditions, including stockholder approval; failure to complete these transactions could materially harm our business and our ability to continue as a going concern.</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April 27, 2026, we entered into an Asset Purchase Agreement with Trademark Global, LLC and a Securities Purchase Agreement with David E. Lazar (collectively, the "Aterian Transactions"); however, there can be no assurance that we will obtain the necessary stockholder approvals or that other closing conditions will be satisfied. These transactions are subject to significant conditions, including the receipt of stockholder approval for the Asset Sale and the issuance of Common Stock upon conversion of the Preferred Stock, as well as our ability to achieve specific contribution margin targets. If the Aterian Transactions are not consummated, we will have incurred substantial legal, accounting, and advisory fees without the benefit of the $25 million in total anticipated gross proceeds, and we may be required to pay a termination fee of $1.1 million and reimburse up to $0.6 million of expenses under certain circumstances. Furthermore, our current liquidity position and our ability to remain in compliance with the covenants of our MidCap Credit Facility are significantly dependent on the closing of these transactions. A failure to close would likely impair our ability to continue as a going concern, and during the pendency of these transactions, we face ongoing operational risks including potential disruptions to business relationships with customers such as Amazon, Walmart, and Target, as well as broader macroeconomic hurdles.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strategic investment made by David E. Lazar will result in a change in control and significant dilution of existing stockholders, giving a single investor outsized influence over our corporate strategy.</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Existing stockholders will experience immediate and substantial dilution and a change in control as a result of the Aterian Transactions. Upon the Second SPA Closing and the subsequent conversion of the Series AA and Series AAA Preferred Stock, Mr. Lazar is expected to hold approximately 95.13% of our fully diluted share capitalization. This extreme concentration of ownership will give Mr. Lazar significantly outsized influence over our corporate strategy and all matters requiring stockholder approval, including the election of directors and the approval of significant corporate transactions. The interests of Mr. Lazar may differ from the interests of our other stockholders, and his ability to control the Company may have the effect of delaying or preventing a future change in control or other mergers that other stockholders might consider favorable.</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will dispose of substantially all of its revenue-generating assets upon the closing of the Asset Sale, and our future viability is subject to the successful execution of an unproven strategic pivot.</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will not have any material business assets following the consummation of the Asset Sale, as the sale to Trademark Global constitutes a sale of substantially all of our assets and revenue-generating operations, including our marquee brands. Consequently, our future viability will depend entirely on our ability to identify and consummate a "Post-Investment Transaction" or strategic "Pivot," which involves combining with a target company to create future growth opportunities. We may not be able to identify a suitable target company before our capital resources are depleted, and even if we do, there is no assurance that such a transaction will be successful or achieve anticipated benefits. Additionally, the final amount of net proceeds we receive from the Asset Sale remains subject to substantial uncertainty due to potential adjustments for net working capital, the satisfaction of unforeseen liabilities, and ongoing operational costs. There is also no guarantee that the Contingent Value Rights (CVRs) issued in connection with potential tariff refunds will result in any future cash payments to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key personnel may be adversely affected by the pending Asset Sale and our transition to new executive leadership.</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consummation of the Asset Sale and the strategic investment is subject to several conditions that may not be satisfied, including the receipt of stockholder approval. The uncertainty regarding the successful completion of these transactions, as well as the transition of leadership following the Second SPA Closing, may create significant anxiety regarding our future direction and ownership. This uncertainty could lead to increased employee attrition and further hinder our ability to attract and motivate key personnel. Additionally, the Asset Purchase Agreement requires the Company to maintain certain contribution margins, and any failure to meet these financial thresholds could jeopardize the closing of the sale, potentially impacting our ability to retain well-qualified employees.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Following the Second SPA Closing, David Lazar is expected to be appointed as the sole Chief Executive Officer, succeeding Arturo Rodriguez, which represents a significant shift in our senior management team. The loss of one or more of our key personnel during this transition period, or our inability to promptly identify suitable successors, could have an adverse effect on our business. Each of our executive officers and other employees could terminate their employment relationship with us at any time.</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operated at a loss and we may never achieve or sustain continuous profitability or positive cash flows. Management has determined that there is substantial doubt about the Company's ability to continue as a going concern.</w:t>
      </w:r>
    </w:p>
    <w:p>
      <w:pPr>
        <w:sectPr>
          <w:pgSz w:w="11900" w:h="16838" w:orient="portrait"/>
          <w:cols w:equalWidth="0" w:num="1">
            <w:col w:w="11240"/>
          </w:cols>
          <w:pgMar w:left="320" w:top="121" w:right="339" w:bottom="111"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after-tax losses for the three months ended March 31, 2026 and 2025.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sales and marketing, international expansion and general administration, including expenses related to being a public company. We have had to rely on a combination of cash flow from operations and new capital to sustain our business. Even though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growth strategy has resulted in operating losses and negative cash flows from operations that raise substantial doubt about our ability to continue as a going concern. Our independent registered public accounting firm included an explanatory paragraph in its report on our consolidated financial statements as of and for the year ended December 31, 2025,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sales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costs of raw materials, energy, labor, transportation and platform fees charged by marketplaces may adversely affect our business, operating results, financial condition, and cash flows.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Significant increases in the cost and/or reductions in the availability of raw materials, energy, labor, transportation, and increases in tariffs and platform fees charged by marketplaces have negatively impacted our business, operating results, financial condition, and cash flows and may continue to negatively impact such items in the future. Our contract manufacturers purchase significant amounts of metals, plastics and other materials to manufacture our products. In addition, they also purchase significant amounts of electricity to supply the energy required in their production processes. Global political instabilities, including the Iran conflict, are expected to result in higher metal, plastic, electric, transportation and product costs, and may increase our cost of goods sold in the near term or impair our ability to obtain products at marketable rates or at all. We are heavily dependent on inbound sea, rail and truck freight. Disruptions in the global supply chain and freight networks, has, and may continue to limit inbound and outbound shipment capacity and increase our cost of goods sold and certain operating expenses. Further, the marketplaces on which we sell our products charge fees for selling, storage, advertising and fulfillment, all of which have historically increased, and we expect will continue to increase. Specifically, recent increases in oil prices have contributed to higher marketplace fees. The cost of raw materials, energy, labor, and transportation represents a significant portion of our cost of goods sold, while platform fees charged by marketplaces represent a significant portion of our operating expenses; these costs are not within our control and we have had limited success passing these on to customers. Our business, operating results, financial condition, and cash flows could be adversely affected by future increases in any of these costs. Additionally, the loss or disruption of essential manufacturing and supply elements such as raw materials or other finished product components, restricted transportation or increased freight costs, reduced workforce, or other manufacturing and distribution disruption could adversely impact our ability to meet our customers’ needs. Furthermore, it is not practical for us to mitigate our exposure to, nor are we able to accurately project the possible effect of foreign currency exchange rate fluctuations on our operating results due to our constantly changing exposure to various foreign currencies and the difficulty in predicting fluctuations in foreign currency exchange rates relative to the U.S. Dollar.</w:t>
      </w:r>
    </w:p>
    <w:p>
      <w:pPr>
        <w:spacing w:after="0" w:line="19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Recent escalations in geopolitical tensions in Iran, including significant combat operations and retaliatory strikes involving the United States and regional powers, have created substantial volatility in global energy and shipping markets. This conflict has led to disruptions in critical maritime routes and increased the risk of spiked freight insurance premiums and fuel surcharges for inbound shipments from our Asian suppliers. These macroeconomic pressures pose a direct threat to our operating results and could specifically impair our ability to achieve the contribution margin targets required as a condition to the closing of the Asset Purchase Agreement with Trademark Global. Furthermore, any sustained increase in shipping costs or delays in product availability would exacerbate the liquidity constraints that have historically affected our business and could interfere with our ability to maintain compliance with our existing credit facility prior to the anticipated influx of capital from the Aterian Transactions. If we are unable to successfully navigate these disruptions, the failure to close the pending Asset Sale and Stock Sale would have a material adverse effect on our financial condition and our ability to continue as a going concern.</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all of our products, most of which are located in Asia, and any inability or delay in obtaining products from such suppliers could have a material adverse effect on our business, operating results, financial condition, and cash flow.</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dependent on third-party suppliers such as contract manufacturers and third-party logistics providers and carriers for the manufacturing and distribution of our products and any disruption to our supply chain, even for a relatively short period of time, could cause a loss of revenue, which could adversely affect our business, operating results, financial condition, and cash flows. Our ability to select reliable suppliers that provide timely deliveries of quality products will impact our success in meeting customer demand. Further, for a number of our significant products, we only have a single-source of supply (such as for certain dehumidifiers) and in general we do not have contracts with our contract manufacturers covering costs and production that we believe we can enforce without undue effort or cost. Any supplier’s inability or unwillingness to timely deliver products that meet desired specifications or any unanticipated changes in suppliers could be disruptive and costly and it is unlikely that we will be able to effect alternative arrangements on a timely basis, or in the case of manufacturing certain of our significant products, at all. Any significant failure by us to obtain quality products, in sufficient quantities, on a timely basis, and at an affordable cost or any significant delays or interruptions of supply would have a material adverse effect on our business, operating results, financial condition, and cash flows.</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most of our product suppliers are based in China, our business is subject to additional risks including, among others: currency fluctuations; labor unrest; potential political, economic and social instability; restrictions on transfers of funds; import duties and quotas; changes in domestic and international customs and tariffs, including embargoes and customs restrictions; uncertainties involving the costs to transport and warehouse products due to the dynamic nature of the global supply chain; unexpected changes in regulatory environments; regulatory issues involved in dealing with foreign suppliers and in exporting and importing products. The foregoing factors could have a material adverse effect on our business, operating results, financial condition, and cash flows.</w:t>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experience any recalls, product liability claims, or government, customer or consumer concerns about product safety, our reputation and operating results could be harmed.</w:t>
      </w:r>
    </w:p>
    <w:p>
      <w:pPr>
        <w:spacing w:after="0" w:line="15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products are subject to regulation by the U.S. Consumer Product Safety Commission (the “CPSC”) and similar state and international regulatory authorities, and these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2026, we announced a voluntary recall in coordination with the CPSC for approximately 195,000 units of our PurSteam Mighty Lil Steamers and Elite Travel Steamers due to reports of hot water expelling from the nozzle. We have incurred, and expect to continue to incur, costs related to this recall, including refund payments and legal expenses. As a result of this recall, a putative class action complaint, Sarah Brannon v. Aterian, Inc., was filed against us on March 6, 2026, in the U.S. District Court for the District of New Jersey. The complaint alleges various violations, including breach of implied warranty, unjust enrichment, and violations of the New Jersey Products Liability Act. While the Company ceased selling these steamers in 2024, the defense of this existing litigation, and the potential for additional product liability or class action lawsuits, could result in significant legal expenses, settlements, or judgments. Furthermore, these developments could damage the reputation of the PurSteam brand, leading to a loss of consumer trust and a permanent decline in revenue for this product line.</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May 13, 2026, the company entered into a settlement agreement and general release to resolve this litigation. Under the terms of the agreement, the company agreed to pay a total settlement sum of $100,000 in exchange for a full release of all claims related to the purchase and use of the products. The agreement stipulates a voluntary dismissal of the claims with prejudice and includes customary provisions regarding confidentiality, non-disparagement, and a denial of any wrongdoing or liability by the company.</w:t>
      </w:r>
    </w:p>
    <w:p>
      <w:pPr>
        <w:sectPr>
          <w:pgSz w:w="11900" w:h="16838" w:orient="portrait"/>
          <w:cols w:equalWidth="0" w:num="1">
            <w:col w:w="11240"/>
          </w:cols>
          <w:pgMar w:left="320" w:top="121" w:right="339" w:bottom="0" w:gutter="0" w:footer="0" w:header="0"/>
        </w:sectPr>
      </w:pPr>
    </w:p>
    <w:bookmarkStart w:id="41" w:name="page42"/>
    <w:bookmarkEnd w:id="41"/>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if people or property are harmed by the products we sell. Some of the products we sell may expose us to product liability claims and litigation (including class actions) or regulatory action relating to safety, personal injury, and death or environmental or property damage.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maintain liability insurance, we cannot be certain that our coverage will be adequate for liabilities actually incurred or that insurance will continue to be available to us on economically reasonable terms, or at all. In general, our agreements with members of our supply chain do not indemnify us from product liability for a particular product, and some members of our supply chain may not have sufficient resources or insurance to satisfy their indemnity and defense obligations.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or our vendors to comply with product safety, consumer protection or other laws, or our standard vendor terms and conditions, or to provide safe factory conditions for our or their workers may damage our reputation and brand and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products we sell to our clients are subject to regulation by the CPSC, the Federal Trade Commission (“FTC”) and similar state and international regulatory authorities. As a result, such products could be in the future subject to recalls and other remedial actions, including the manner in which we market our products. Product safety or labeling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our agreements with our vendors in general do not indemnify us from product liability for a particular vendor’s products or our vendors may not have sufficient resources or insurance to satisfy their indemnity and defense obligations.</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various restrictions and covenants that could limit our operating flexibility, and we may be unable to refinance or repay our Credit Facility. We also rely on credit export insurance for our vendors in China, the unavailability of which could have a material adverse impact on our business, operating results, financial condition, and cash flows.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22, 2021, we obtained a revolving credit facility from Midcap Funding IV Trust (the “Credit Facility”). Our Credit Facility contains covenants and other restrictions that, among other things, requires us to satisfy certain liquidity and borrowing availability tests, restricts our ability to execute M&amp;A transactions and to incur additional indebtedness. These restrictions and covenants, and those in other future financing arrangements, may limit our ability to respond to market conditions, to provide for capital investment needs or to take advantage of business opportunities.</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On February 23, 2024, the Company amended the Credit Facility to extend the term to December 2026 and provide us with access to $17 million in current commitments which can be increased, subject to certain conditions, to $30.0 million. On March 25, 2025, the Company amended the Credit Facility to add repurchases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29, 2025, the Company amended the Credit Facility to include a reduction to the Minimum Credit Party Liquidity covenant to $5.0 million. Upon the Company’s delivery of a Liquidity Certificate evidencing liquidity of at least $6.8 million, the Minimum Liquidity Covenant Reduction Period will terminate and the covenant will increase to $6.8 million thereafter, and an Availability Reserve of $2.8 million during the Minimum Liquidity Covenant Reduction Period and $1.0 million thereafter.</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13, 2026, the Company and its subsidiaries entered into Amendment No. 5 to its Credit and Security Agreement with MidCap Funding IV Trust. Under the terms of the amendment, the Company’s minimum liquidity covenant was reduced from $5.0 million to $3.5 million during the Minimum Liquidity Covenant Reduction Period. This reduction period commenced on the Fifth Amendment Effective Date and is subject to extension at the Company's option on a weekly basis through May 9, 2026, provided it remains in compliance with certain fee payment obligations.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be available to repay or refinance our Credit Facility. Further, at any time, if we violate the terms of the Credit Facility, we may not be able to obtain a waiver from our lender under satisfactory terms, or at all, which would limit our operating flexibility and/or liquidity and which could have a material adverse effect on our business, operating results, financial condition, and cash flows.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rely on the availability of export credit insurance from the China Export &amp; Credit Insurance Corporation (“Sinosure”), a Chinese state-owned enterprise, that provides export credit insurance to our contract manufacturers. From time to time, our contract manufacturers have experienced reductions in the availability of such credit from Sinosure as a result of our failure to timely pay them. While we currently believe our contract manufacturers have insurance at levels that we believe are sufficient to fund our operations, there can be no assurance that such insurance will be available at levels we require for our business, or at all, whether or not we make timely payments to our vendors, which would have a material adverse effect on our business, operating results, financial condition, and cash flows.</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addition, the Company has cash deposits at financial institutions in excess of the insured amount of $0.3 million by the Federal Deposit Insurance Corporation.</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the strength of the United States consumer market to a meaningful extent, and changes in consumer spending and economic conditions could adversely affect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strength of the U.S. economy has a significant impact on our performance. We are dependent on discretionary spending, which is affected by, among other things, unemployment rates, economic and political conditions worldwide, consumer confidence, energy and gasoline prices, interest and mortgage rates, the level of consumer debt and taxation, and financial markets, all of which are outside of our control. In particular, the ongoing conflict in Iran has contributed to increased gasoline and energy prices and heightened geopolitical uncertainty, which has negatively impacted discretionary spending at least in the short term, though these effects could be prolonged if the conflict continues or escalates. A continuing softening of demand, whether caused by changes in customer preferences, a weakening of the U.S. or global economies, or regional instability, may result in decreased revenue. We believe we have sustained a decline in the sales of our products in part due to the factors mentioned above, and any continued economic downturn or uncertainties in the U.S. or in other parts of the world could materially and adversely affect our business, operating results, financial condition, and cash flows.</w:t>
      </w:r>
    </w:p>
    <w:p>
      <w:pPr>
        <w:sectPr>
          <w:pgSz w:w="11900" w:h="16838" w:orient="portrait"/>
          <w:cols w:equalWidth="0" w:num="1">
            <w:col w:w="11220"/>
          </w:cols>
          <w:pgMar w:left="320" w:top="121" w:right="359" w:bottom="1041" w:gutter="0" w:footer="0" w:header="0"/>
        </w:sectPr>
      </w:pPr>
    </w:p>
    <w:p>
      <w:pPr>
        <w:spacing w:after="0" w:line="1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041"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Litigation and Government Regulation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litigation, government investigations, product liability and recalls, and other proceedings may adversely affect our business, operating results, financial condition, and cash flows.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spacing w:after="0" w:line="17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trade actions could have a material adverse effect on our business, financial position, and results of operation.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Over the past several years, the U.S. government has taken a number of trade actions that impact or could impact our operations, including imposing tariffs on certain goods imported into the United States.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Throughout 2025, the U.S. trade environment underwent a period of unprecedented volatility characterized by the implementation of a broad “reciprocal” tariff regime. Utilizing the International Emergency Economic Powers Act (IEEPA), the administration imposed steep duties on nearly all imported goods, including a baseline 10% global tariff and targeted rates on major trading partners like China that reached historic highs before a late-year temporary truce. These actions were compounded by expanded Section 232 duties on industrial metals and the elimination of “de minimis” exemptions for low-value imports, significantly increasing our landed costs and requiring frequent adjustments to our pricing and sourcing strategies. While these measures were the primary drivers of trade policy for much of the year, their legal foundation remained a point of intense litigation until early 2026.</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20, 2026, the U.S. Supreme Court ruled in Learning Resources Inc. v. Trump that the International Emergency Economic Powers Act does not authorize the President to impose sweeping revenue-raising tariffs, invalidating previous broad reciprocal duties. In response, the administration immediately transitioned to a 10% baseline tariff under Section 122 of the Trade Act of 1974, effective February 24, 2026. These tariffs are subject to a 150-day statutory limit (expiring July 24, 2026) unless extended by Congress.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7, 2026, the U.S. Court of International Trade (CIT) ruled in Burlap and Barrel, Inc. v. Trump that these Section 122 tariffs are unlawful, finding the administration exceeded its statutory authority. However, because the CIT limited its permanent injunction only to the specific plaintiffs in that case, the federal government continues to collect the 10% duty from all other importers, including the Company. We expect the administration to appeal this decision, and there is significant uncertainty regarding whether the tariffs will be stayed, if Congress will provide a legislative extension, or if the administration will pivot to alternative authorities, such as Section 301 investigations, to maintain or increase duty levels. Any prolonged collection of these duties, or the imposition of higher replacement tariffs, could materially increase our cost of goods sold and adversely affect our operating results.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tariff actions, along with the potential for retaliatory measures, create uncertainty and may increase our product costs, disrupt our supply chain, and adversely affect our competitive position. In particular, continued or escalated trade and political tensions with China or other key trading partners could result in retaliatory restrictions that impair our ability to source products and components from contract manufacturers or service providers operating in those countries. Any sustained increase in tariffs, or the imposition of additional trade barriers, could materially and adversely affect our business, financial condition, and results of operations.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tariff measures described above, changes in U.S. or foreign trade policy may create ongoing uncertainty in international trade relations. Future actions by the United States or other governments — including the imposition, increase, or extension of tariffs, quotas, or other trade restrictions, or changes to existing trade agreements or policies — could occur at any time and without notice. Any such actions, whether unilateral or in response to geopolitical or economic developments, could reduce demand for our products, increase our costs, disrupt our supply chain, reduce our profitability, or otherwise have a material adverse effect on our business, financial condition, and results of operations.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continually evaluating the impact of the current and any possible new tariffs on our supply chain, costs and sales and are considering strategies to mitigate such impact, including reviewing sourcing options and working with our suppliers. We can provide no assurance that any strategies we implement to mitigate the impact of such tariffs or other trade actions will be successful or that any newly sourced products will be of the same quality of those previously sourced elsewhere. Given the uncertainty regarding the scope and duration of these trade actions by the U.S. government or other countries, as well as the potential for additional trade actions, the impact on our operations and results remains uncertain.</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of a continuing public market for you to resell our common stock.</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is no guarantee that we will continue to meet all requirements for continued listing on the Nasdaq Capital Market. We must continue to satisfy Nasdaq’s continued listing requirements, including, among other things, a minimum closing bid price requirement of $1.00 per share.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24, 2023,the Company received a notice from The Nasdaq Stock Market LLC (“Nasdaq”) indicating that, based upon the closing bid price of the Company’s common stock, par value $0.0001 per share (“Common Stock”), for the last 30 consecutive business days, the Company was not currently in compliance with the requirement to maintain a minimum bid price of $1.00 per share for continued listing on The Nasdaq Capital Market, as set forth in Nasdaq Listing Rule 5550(a)(2) (the “Bid Price Notice”). In response to the potential risk of delisting, the Company’s stockholders approved granting the Board discretionary authority to implement a reverse stock split, and on March 20, 2024, the Company effected a 1-for-12 reverse stock split of its common stock. The Company subsequently regained compliance with Nasdaq’s minimum bid price requirement in April 2024, and the matter was closed.</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9, 2025, the Company received a notice from Nasdaq indicating that, based upon the closing bid price of the Company’s common stock, par value $0.0001 per share, for the last 30 consecutive business days, the Company is not currently in compliance with the requirement to maintain a minimum bid price of $1.00 per share for continued listing on The Nasdaq Capital Market, as set forth in Nasdaq Listing Rule 5550(a)(2).</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Common Stock on The Nasdaq Capital Market, and, therefore, the Company's listing remains fully effective.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is provided a compliance period of 180 calendar days from the date of the Bid Price Notice, or until June 8, 2026, to regain compliance with the minimum closing bid requirement, pursuant to Nasdaq Listing Rule 5810(c)(3)(A). If at any time before June 8, 2026, the closing bid price of the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June 8, 2026,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spacing w:after="0" w:line="187"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spacing w:after="0" w:line="158" w:lineRule="exact"/>
        <w:rPr>
          <w:sz w:val="20"/>
          <w:szCs w:val="20"/>
          <w:color w:val="auto"/>
        </w:rPr>
      </w:pPr>
    </w:p>
    <w:p>
      <w:pPr>
        <w:ind w:left="800" w:hanging="26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Common Stock;</w:t>
      </w:r>
    </w:p>
    <w:p>
      <w:pPr>
        <w:spacing w:after="0" w:line="27"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9"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securities or obtain additional financing in the future;</w:t>
      </w:r>
    </w:p>
    <w:p>
      <w:pPr>
        <w:spacing w:after="0" w:line="9"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for our stockholders due to thin trading; and</w:t>
      </w:r>
    </w:p>
    <w:p>
      <w:pPr>
        <w:spacing w:after="0" w:line="9"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confidence by investors and employees.</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has not yet received formal written confirmation from Nasdaq that it has regained compliance, as the closing bid price of the Company’s common stock has been at or above $1.00 per share for 10 consecutive business days, ending on May 14,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Nasdaq minimum market value rule could result in the immediate suspension and delisting of our common stock without a cure period.</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January 13, 2026, Nasdaq filed a proposed rule change with the SEC (File No. SR-NASDAQ-2026-004) that would establish a new continued listing requirement. Under the proposal, companies listed on the Nasdaq Global and Capital Markets would be required to maintain a minimum Market Value of Listed Securities (“MVLS”) of at least $5 million.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this rule is approved and we fail to maintain a $5 million MVLS for a period of 30 consecutive business days, our common stock would be subject to immediate suspension and delisting. Unlike other Nasdaq listing deficiencies, such as the $1.00 minimum bid price requirement, which typically allows for a 180-day compliance period, the proposed rule does not provide for a cure or compliance period. Furthermore, the proposal specifies that any appeal of a delisting determination under this rule would not stay the suspension of trading.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common stock is delisted from Nasdaq, it would likely trade on the over-the-counter (“OTC”) market. Such a move could:</w:t>
      </w:r>
    </w:p>
    <w:p>
      <w:pPr>
        <w:spacing w:after="0" w:line="225" w:lineRule="exact"/>
        <w:rPr>
          <w:sz w:val="20"/>
          <w:szCs w:val="20"/>
          <w:color w:val="auto"/>
        </w:rPr>
      </w:pPr>
    </w:p>
    <w:p>
      <w:pPr>
        <w:ind w:left="800" w:hanging="266"/>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 the liquidity and market price of our common stock;</w:t>
      </w:r>
    </w:p>
    <w:p>
      <w:pPr>
        <w:spacing w:after="0" w:line="27"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raise additional capital through the issuance of equity;</w:t>
      </w:r>
    </w:p>
    <w:p>
      <w:pPr>
        <w:spacing w:after="0" w:line="9"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loss of confidence by investors, suppliers, and employees; and</w:t>
      </w:r>
    </w:p>
    <w:p>
      <w:pPr>
        <w:spacing w:after="0" w:line="9" w:lineRule="exact"/>
        <w:rPr>
          <w:rFonts w:ascii="Times New Roman" w:cs="Times New Roman" w:eastAsia="Times New Roman" w:hAnsi="Times New Roman"/>
          <w:sz w:val="18"/>
          <w:szCs w:val="18"/>
          <w:color w:val="auto"/>
        </w:rPr>
      </w:pPr>
    </w:p>
    <w:p>
      <w:pPr>
        <w:ind w:left="800" w:hanging="266"/>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our stock subject to “penny stock” rules, which impose additional burdens on broker-dealers and further restrict secondary market</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SEC will not approve this rule or that we will be able to maintain a market capitalization sufficient to comply with these new requirements. Any such delisting would have a material adverse effect on our financial condition and the value of your investment.</w:t>
      </w: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75"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Rule 10b5-1 Trading Plans. 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Exhibits.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24"/>
                <w:szCs w:val="24"/>
                <w:color w:val="auto"/>
              </w:rPr>
            </w:pPr>
          </w:p>
        </w:tc>
        <w:tc>
          <w:tcPr>
            <w:tcW w:w="5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Asset Purchase Agreement, dated as of April 27, 2026, by and between Aterian,</w:t>
              </w:r>
            </w:hyperlink>
          </w:p>
        </w:tc>
        <w:tc>
          <w:tcPr>
            <w:tcW w:w="3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80" w:type="dxa"/>
            <w:vAlign w:val="bottom"/>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Inc. and Trademark Global, LLC</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24"/>
                <w:szCs w:val="24"/>
                <w:color w:val="auto"/>
              </w:rPr>
            </w:pPr>
          </w:p>
        </w:tc>
        <w:tc>
          <w:tcPr>
            <w:tcW w:w="6080" w:type="dxa"/>
            <w:vAlign w:val="bottom"/>
            <w:gridSpan w:val="9"/>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Securities Purchase Agreement, dated as of April 27, 2026, by and between Aterian,</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Inc. and David Lazar</w:t>
              </w:r>
            </w:hyperlink>
          </w:p>
        </w:tc>
        <w:tc>
          <w:tcPr>
            <w:tcW w:w="45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24"/>
                <w:szCs w:val="24"/>
                <w:color w:val="auto"/>
              </w:rPr>
            </w:pPr>
          </w:p>
        </w:tc>
        <w:tc>
          <w:tcPr>
            <w:tcW w:w="6080" w:type="dxa"/>
            <w:vAlign w:val="bottom"/>
            <w:gridSpan w:val="9"/>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Amendment No. 5 to that certain Credit and Security Agreement, dated as March</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13, 2026, by and Aterian, Inc. and its subsidiaries party thereto as “Credit</w:t>
              </w:r>
            </w:hyperlink>
          </w:p>
        </w:tc>
        <w:tc>
          <w:tcPr>
            <w:tcW w:w="540" w:type="dxa"/>
            <w:vAlign w:val="bottom"/>
            <w:tcBorders>
              <w:top w:val="single" w:sz="8" w:color="0000EE"/>
            </w:tcBorders>
            <w:gridSpan w:val="2"/>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Parties,” the lenders party thereto from time to time and Midcap Funding IV Trust,</w:t>
              </w:r>
            </w:hyperlink>
          </w:p>
        </w:tc>
        <w:tc>
          <w:tcPr>
            <w:tcW w:w="12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2">
              <w:r>
                <w:rPr>
                  <w:rFonts w:ascii="Times New Roman" w:cs="Times New Roman" w:eastAsia="Times New Roman" w:hAnsi="Times New Roman"/>
                  <w:sz w:val="18"/>
                  <w:szCs w:val="18"/>
                  <w:color w:val="0000EE"/>
                  <w:w w:val="98"/>
                </w:rPr>
                <w:t>as administrative agent.</w:t>
              </w:r>
            </w:hyperlink>
          </w:p>
        </w:tc>
        <w:tc>
          <w:tcPr>
            <w:tcW w:w="4380" w:type="dxa"/>
            <w:vAlign w:val="bottom"/>
            <w:gridSpan w:val="7"/>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38"/>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53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4/29/2026</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4/29/2026</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3/17/2026</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496" w:lineRule="exact"/>
        <w:rPr>
          <w:sz w:val="20"/>
          <w:szCs w:val="20"/>
          <w:color w:val="auto"/>
        </w:rPr>
      </w:pPr>
    </w:p>
    <w:p>
      <w:pPr>
        <w:sectPr>
          <w:pgSz w:w="11900" w:h="16838" w:orient="portrait"/>
          <w:cols w:equalWidth="0" w:num="2">
            <w:col w:w="7240" w:space="120"/>
            <w:col w:w="3880"/>
          </w:cols>
          <w:pgMar w:left="320" w:top="121" w:right="339" w:bottom="1440" w:gutter="0" w:footer="0" w:header="0"/>
        </w:sectPr>
      </w:pP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31.1*</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pursuant to Rule 13a-14(a) or 15d-</w:t>
            </w:r>
          </w:p>
        </w:tc>
      </w:tr>
      <w:tr>
        <w:trPr>
          <w:trHeight w:val="196"/>
        </w:trPr>
        <w:tc>
          <w:tcPr>
            <w:tcW w:w="10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14(a) of the Securities Exchange Act of 1934.</w:t>
            </w:r>
          </w:p>
        </w:tc>
        <w:tc>
          <w:tcPr>
            <w:tcW w:w="27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31.2*</w:t>
            </w:r>
          </w:p>
        </w:tc>
        <w:tc>
          <w:tcPr>
            <w:tcW w:w="6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 13a-14(a) or 15d-</w:t>
            </w:r>
          </w:p>
        </w:tc>
      </w:tr>
      <w:tr>
        <w:trPr>
          <w:trHeight w:val="196"/>
        </w:trPr>
        <w:tc>
          <w:tcPr>
            <w:tcW w:w="1040" w:type="dxa"/>
            <w:vAlign w:val="bottom"/>
          </w:tcPr>
          <w:p>
            <w:pPr>
              <w:spacing w:after="0"/>
              <w:rPr>
                <w:sz w:val="17"/>
                <w:szCs w:val="17"/>
                <w:color w:val="auto"/>
              </w:rPr>
            </w:pPr>
          </w:p>
        </w:tc>
        <w:tc>
          <w:tcPr>
            <w:tcW w:w="33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14(a) of the Securities Exchange Act of 1934.</w:t>
            </w:r>
          </w:p>
        </w:tc>
        <w:tc>
          <w:tcPr>
            <w:tcW w:w="2760" w:type="dxa"/>
            <w:vAlign w:val="bottom"/>
            <w:gridSpan w:val="2"/>
          </w:tcPr>
          <w:p>
            <w:pPr>
              <w:spacing w:after="0"/>
              <w:rPr>
                <w:sz w:val="17"/>
                <w:szCs w:val="17"/>
                <w:color w:val="auto"/>
              </w:rPr>
            </w:pPr>
          </w:p>
        </w:tc>
      </w:tr>
      <w:tr>
        <w:trPr>
          <w:trHeight w:val="41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32.1**</w:t>
            </w:r>
          </w:p>
        </w:tc>
        <w:tc>
          <w:tcPr>
            <w:tcW w:w="60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and Principal Financial Officer</w:t>
            </w:r>
          </w:p>
        </w:tc>
      </w:tr>
      <w:tr>
        <w:trPr>
          <w:trHeight w:val="196"/>
        </w:trPr>
        <w:tc>
          <w:tcPr>
            <w:tcW w:w="1040" w:type="dxa"/>
            <w:vAlign w:val="bottom"/>
          </w:tcPr>
          <w:p>
            <w:pPr>
              <w:spacing w:after="0"/>
              <w:rPr>
                <w:sz w:val="17"/>
                <w:szCs w:val="17"/>
                <w:color w:val="auto"/>
              </w:rPr>
            </w:pPr>
          </w:p>
        </w:tc>
        <w:tc>
          <w:tcPr>
            <w:tcW w:w="60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 adopted pursuant to Section 906 of the</w:t>
            </w: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3960" w:type="dxa"/>
            <w:vAlign w:val="bottom"/>
            <w:gridSpan w:val="3"/>
          </w:tcPr>
          <w:p>
            <w:pPr>
              <w:spacing w:after="0"/>
              <w:rPr>
                <w:sz w:val="17"/>
                <w:szCs w:val="17"/>
                <w:color w:val="auto"/>
              </w:rPr>
            </w:pPr>
          </w:p>
        </w:tc>
      </w:tr>
      <w:tr>
        <w:trPr>
          <w:trHeight w:val="453"/>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101.INS</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101.SCH</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101.CAL</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101.DEF</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101.LAB</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101.PRE</w:t>
            </w:r>
          </w:p>
        </w:tc>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right="5060" w:firstLine="348"/>
        <w:spacing w:after="0" w:line="386" w:lineRule="auto"/>
        <w:tabs>
          <w:tab w:leader="none" w:pos="11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 Filed herewith.</w:t>
      </w: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9" w:lineRule="exact"/>
        <w:rPr>
          <w:sz w:val="20"/>
          <w:szCs w:val="20"/>
          <w:color w:val="auto"/>
        </w:rPr>
      </w:pPr>
    </w:p>
    <w:p>
      <w:pPr>
        <w:ind w:right="580" w:firstLine="8"/>
        <w:spacing w:after="0" w:line="260" w:lineRule="auto"/>
        <w:tabs>
          <w:tab w:leader="none" w:pos="1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ATERIAN,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Arturo Rodriguez</w:t>
            </w:r>
          </w:p>
        </w:tc>
      </w:tr>
      <w:tr>
        <w:trPr>
          <w:trHeight w:val="189"/>
        </w:trPr>
        <w:tc>
          <w:tcPr>
            <w:tcW w:w="3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16"/>
        </w:trPr>
        <w:tc>
          <w:tcPr>
            <w:tcW w:w="3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w:t>
            </w:r>
            <w:r>
              <w:rPr>
                <w:rFonts w:ascii="Times New Roman" w:cs="Times New Roman" w:eastAsia="Times New Roman" w:hAnsi="Times New Roman"/>
                <w:sz w:val="18"/>
                <w:szCs w:val="18"/>
                <w:i w:val="1"/>
                <w:iCs w:val="1"/>
                <w:color w:val="auto"/>
              </w:rPr>
              <w:t>r</w:t>
            </w:r>
          </w:p>
        </w:tc>
      </w:tr>
      <w:tr>
        <w:trPr>
          <w:trHeight w:val="236"/>
        </w:trPr>
        <w:tc>
          <w:tcPr>
            <w:tcW w:w="3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Feldman</w:t>
            </w:r>
          </w:p>
        </w:tc>
      </w:tr>
      <w:tr>
        <w:trPr>
          <w:trHeight w:val="191"/>
        </w:trPr>
        <w:tc>
          <w:tcPr>
            <w:tcW w:w="3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Feldman</w:t>
            </w:r>
          </w:p>
        </w:tc>
      </w:tr>
      <w:tr>
        <w:trPr>
          <w:trHeight w:val="214"/>
        </w:trPr>
        <w:tc>
          <w:tcPr>
            <w:tcW w:w="3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500" w:type="dxa"/>
            <w:vAlign w:val="bottom"/>
          </w:tcPr>
          <w:p>
            <w:pPr>
              <w:spacing w:after="0"/>
              <w:rPr>
                <w:sz w:val="24"/>
                <w:szCs w:val="24"/>
                <w:color w:val="auto"/>
              </w:rPr>
            </w:pPr>
          </w:p>
        </w:tc>
        <w:tc>
          <w:tcPr>
            <w:tcW w:w="3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40</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225" w:lineRule="exact"/>
        <w:rPr>
          <w:sz w:val="20"/>
          <w:szCs w:val="20"/>
          <w:color w:val="auto"/>
        </w:rPr>
      </w:pPr>
    </w:p>
    <w:p>
      <w:pPr>
        <w:ind w:left="600" w:hanging="178"/>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225" w:lineRule="exact"/>
        <w:rPr>
          <w:rFonts w:ascii="Times New Roman" w:cs="Times New Roman" w:eastAsia="Times New Roman" w:hAnsi="Times New Roman"/>
          <w:sz w:val="18"/>
          <w:szCs w:val="18"/>
          <w:color w:val="auto"/>
        </w:rPr>
      </w:pPr>
    </w:p>
    <w:p>
      <w:pPr>
        <w:ind w:left="420" w:right="180" w:firstLine="2"/>
        <w:spacing w:after="0" w:line="266"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20" w:right="140" w:firstLine="2"/>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right="340" w:firstLine="2"/>
        <w:spacing w:after="0" w:line="266"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60" w:hanging="6"/>
        <w:spacing w:after="0" w:line="266" w:lineRule="auto"/>
        <w:tabs>
          <w:tab w:leader="none" w:pos="103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60" w:right="400" w:hanging="6"/>
        <w:spacing w:after="0" w:line="26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60" w:right="520" w:hanging="6"/>
        <w:spacing w:after="0" w:line="312" w:lineRule="auto"/>
        <w:tabs>
          <w:tab w:leader="none" w:pos="103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60" w:right="180" w:hanging="6"/>
        <w:spacing w:after="0" w:line="266"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0" w:right="60" w:firstLine="2"/>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60" w:right="740" w:hanging="6"/>
        <w:spacing w:after="0" w:line="282" w:lineRule="auto"/>
        <w:tabs>
          <w:tab w:leader="none" w:pos="103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60" w:right="420" w:hanging="6"/>
        <w:spacing w:after="0" w:line="282"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Feldman, certify that:</w:t>
      </w:r>
    </w:p>
    <w:p>
      <w:pPr>
        <w:spacing w:after="0" w:line="225" w:lineRule="exact"/>
        <w:rPr>
          <w:sz w:val="20"/>
          <w:szCs w:val="20"/>
          <w:color w:val="auto"/>
        </w:rPr>
      </w:pPr>
    </w:p>
    <w:p>
      <w:pPr>
        <w:ind w:left="600" w:hanging="178"/>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225" w:lineRule="exact"/>
        <w:rPr>
          <w:rFonts w:ascii="Times New Roman" w:cs="Times New Roman" w:eastAsia="Times New Roman" w:hAnsi="Times New Roman"/>
          <w:sz w:val="18"/>
          <w:szCs w:val="18"/>
          <w:color w:val="auto"/>
        </w:rPr>
      </w:pPr>
    </w:p>
    <w:p>
      <w:pPr>
        <w:ind w:left="420" w:right="180" w:firstLine="2"/>
        <w:spacing w:after="0" w:line="266"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20" w:right="140" w:firstLine="2"/>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right="340" w:firstLine="2"/>
        <w:spacing w:after="0" w:line="266"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60" w:hanging="6"/>
        <w:spacing w:after="0" w:line="266" w:lineRule="auto"/>
        <w:tabs>
          <w:tab w:leader="none" w:pos="103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60" w:right="400" w:hanging="6"/>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60" w:right="520" w:hanging="6"/>
        <w:spacing w:after="0" w:line="312" w:lineRule="auto"/>
        <w:tabs>
          <w:tab w:leader="none" w:pos="103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60" w:right="180" w:hanging="6"/>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0" w:right="60" w:firstLine="2"/>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60" w:right="740" w:hanging="6"/>
        <w:spacing w:after="0" w:line="282" w:lineRule="auto"/>
        <w:tabs>
          <w:tab w:leader="none" w:pos="103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60" w:right="420" w:hanging="6"/>
        <w:spacing w:after="0" w:line="282"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Feldman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50" w:name="page51"/>
    <w:bookmarkEnd w:id="50"/>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41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Aterian, Inc. (the “Company”) for the period ended March 31, 2026 as filed with the Securities and Exchange Commission on the date hereof (the “Report”), the undersigned hereby certify, pursuant to 18 U.S.C. Section 1350, as adopted pursuant to Section 906 of the Sarbanes-Oxley Act of 2002, to their knowledge that:</w:t>
      </w:r>
    </w:p>
    <w:p>
      <w:pPr>
        <w:spacing w:after="0" w:line="176" w:lineRule="exact"/>
        <w:rPr>
          <w:sz w:val="20"/>
          <w:szCs w:val="20"/>
          <w:color w:val="auto"/>
        </w:rPr>
      </w:pPr>
    </w:p>
    <w:p>
      <w:pPr>
        <w:ind w:left="680" w:hanging="258"/>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80" w:hanging="258"/>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 Arturo Rodriguez</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 Joshua Feldman</w:t>
            </w:r>
          </w:p>
        </w:tc>
      </w:tr>
      <w:tr>
        <w:trPr>
          <w:trHeight w:val="189"/>
        </w:trPr>
        <w:tc>
          <w:tcPr>
            <w:tcW w:w="54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Joshua Feldman</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May 15, 2026</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May 15, 2026</w:t>
            </w:r>
          </w:p>
        </w:tc>
      </w:tr>
    </w:tbl>
    <w:p>
      <w:pPr>
        <w:spacing w:after="0" w:line="198" w:lineRule="exact"/>
        <w:rPr>
          <w:sz w:val="20"/>
          <w:szCs w:val="20"/>
          <w:color w:val="auto"/>
        </w:rPr>
      </w:pPr>
    </w:p>
    <w:p>
      <w:pPr>
        <w:ind w:right="460" w:firstLine="41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80" w:firstLine="414"/>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2"/>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7"/>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2)"/>
      <w:numFmt w:val="decimal"/>
      <w:start w:val="1"/>
    </w:lvl>
  </w:abstractNum>
  <w:abstractNum w:abstractNumId="17">
    <w:nsid w:val="75A2A8D4"/>
    <w:multiLevelType w:val="hybridMultilevel"/>
    <w:lvl w:ilvl="0">
      <w:lvlJc w:val="left"/>
      <w:lvlText w:val="%1."/>
      <w:numFmt w:val="decimal"/>
      <w:start w:val="14"/>
    </w:lvl>
    <w:lvl w:ilvl="1">
      <w:lvlJc w:val="left"/>
      <w:lvlText w:val="%2"/>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2"/>
      <w:numFmt w:val="decimal"/>
      <w:start w:val="104"/>
    </w:lvl>
  </w:abstractNum>
  <w:abstractNum w:abstractNumId="25">
    <w:nsid w:val="2CA88611"/>
    <w:multiLevelType w:val="hybridMultilevel"/>
    <w:lvl w:ilvl="0">
      <w:lvlJc w:val="left"/>
      <w:lvlText w:val="**"/>
      <w:numFmt w:val="bullet"/>
      <w:start w:val="1"/>
    </w:lvl>
    <w:lvl w:ilvl="1">
      <w:lvlJc w:val="left"/>
      <w:lvlText w:val="%2"/>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0" Type="http://schemas.openxmlformats.org/officeDocument/2006/relationships/hyperlink" Target="http://www.sec.gov/Archives/edgar/data/1757715/000143774926013884/ex_951952.htm" TargetMode="External"/><Relationship Id="rId71" Type="http://schemas.openxmlformats.org/officeDocument/2006/relationships/hyperlink" Target="http://www.sec.gov/Archives/edgar/data/1757715/000143774926013884/ex_951953.htm" TargetMode="External"/><Relationship Id="rId72" Type="http://schemas.openxmlformats.org/officeDocument/2006/relationships/hyperlink" Target="http://www.sec.gov/Archives/edgar/data/1757715/000143774926008614/ex_9331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2026-05-15T16:23:55Z</dcterms:created>
  <dcterms:modified xsi:type="dcterms:W3CDTF">2026-05-15T16:23:55Z</dcterms:modified>
</cp:coreProperties>
</file>