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Chang Woei Jiann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03-03, BLOK 68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TAMAN UNGKU TUN AMINAH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SKUDAI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MALAYSIA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26,121,180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On September 1, 2026, Chang Woei Jiann, as one of the multiple purchasers, entered into a Securities Purchase Agreement (the "SPA") with David E. Lazar (the "Seller"), pursuant to which Chang Woei Jiann agreed to purchase, in a private transaction, 193,347 shares of Series AAA Preferred Stock of the Issuer, which were subsequently converted into 26,121,180 shares of Common Stock, $0.0001 par value per share, of the Issuer, from the Seller for an aggregate purchase price of $1,296,000. The transactions contemplated by the SPA occurred on September 25,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Chang Woei Jiann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7391" TargetMode="External"/><Relationship Id="rId3" Type="http://schemas.openxmlformats.org/officeDocument/2006/relationships/hyperlink" Target="http://www.sec.gov/cgi-bin/browse-edgar?action=getcompany&amp;CIK=00017577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480</Words>
  <Characters>2641</Characters>
  <CharactersWithSpaces>3073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