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6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r>
        <w:rPr>
          <w:rFonts w:ascii="Times New Roman" w:cs="Times New Roman" w:eastAsia="Times New Roman" w:hAnsi="Times New Roman"/>
          <w:sz w:val="18"/>
          <w:szCs w:val="18"/>
          <w:color w:val="auto"/>
        </w:rPr>
        <w:t>​</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14a-11(c) or Rule 14a-12</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220" w:hanging="212"/>
        <w:spacing w:after="0"/>
        <w:tabs>
          <w:tab w:leader="none" w:pos="2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previously paid with preliminary materials.</w:t>
      </w:r>
    </w:p>
    <w:p>
      <w:pPr>
        <w:spacing w:after="0" w:line="225" w:lineRule="exact"/>
        <w:rPr>
          <w:sz w:val="24"/>
          <w:szCs w:val="24"/>
          <w:color w:val="auto"/>
        </w:rPr>
      </w:pPr>
    </w:p>
    <w:p>
      <w:pPr>
        <w:ind w:left="220" w:hanging="212"/>
        <w:spacing w:after="0"/>
        <w:tabs>
          <w:tab w:leader="none" w:pos="22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sectPr>
      </w:pPr>
    </w:p>
    <w:bookmarkStart w:id="1" w:name="page2"/>
    <w:bookmarkEnd w:id="1"/>
    <w:p>
      <w:pPr>
        <w:spacing w:after="0" w:line="258" w:lineRule="auto"/>
        <w:rPr>
          <w:sz w:val="20"/>
          <w:szCs w:val="20"/>
          <w:color w:val="auto"/>
        </w:rPr>
      </w:pPr>
      <w:r>
        <w:rPr>
          <w:rFonts w:ascii="Times New Roman" w:cs="Times New Roman" w:eastAsia="Times New Roman" w:hAnsi="Times New Roman"/>
          <w:sz w:val="18"/>
          <w:szCs w:val="18"/>
          <w:color w:val="auto"/>
        </w:rPr>
        <w:t>On June 29, 2026, Aterian, Inc. (the “Company”), through Laurel Hill Advisory Group, the Company’s proxy solicitor, mailed the below communication to stockholders of record of the Company regarding the mailing of proxy materials in connection with the pending sale of substantially all of the Company’s assets to Trademark Global, LLC (the “Asset Sale”) and the issuance of shares of the Company’s common stock, par value $0.0001 per share (the “Common Stock”), to David Lazar upon conversion of the Company’s Series AA Convertible Non-Redeemable Preferred Stock and Series AAA Convertible Non-Redeemable Preferred Stock (the “Investment Transaction”). The following is a copy of the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128270</wp:posOffset>
            </wp:positionV>
            <wp:extent cx="2571750" cy="574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7175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Dear Fellow Aterian Shareholder,</w:t>
      </w:r>
    </w:p>
    <w:p>
      <w:pPr>
        <w:spacing w:after="0" w:line="22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color w:val="auto"/>
        </w:rPr>
        <w:t xml:space="preserve">We recently mailed you proxy materials and are writing to remind you to vote your shares in connection with the upcoming </w:t>
      </w:r>
      <w:r>
        <w:rPr>
          <w:rFonts w:ascii="Times New Roman" w:cs="Times New Roman" w:eastAsia="Times New Roman" w:hAnsi="Times New Roman"/>
          <w:sz w:val="18"/>
          <w:szCs w:val="18"/>
          <w:b w:val="1"/>
          <w:bCs w:val="1"/>
          <w:color w:val="auto"/>
        </w:rPr>
        <w:t>Special Meeting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Stockholders of Aterian, Inc.</w:t>
      </w:r>
      <w:r>
        <w:rPr>
          <w:rFonts w:ascii="Times New Roman" w:cs="Times New Roman" w:eastAsia="Times New Roman" w:hAnsi="Times New Roman"/>
          <w:sz w:val="18"/>
          <w:szCs w:val="18"/>
          <w:color w:val="auto"/>
        </w:rPr>
        <w:t>, to be held virtually, via live webcast at www.virtualshareholdermeeting.com/ATER2026SM, on</w:t>
      </w:r>
      <w:r>
        <w:rPr>
          <w:rFonts w:ascii="Times New Roman" w:cs="Times New Roman" w:eastAsia="Times New Roman" w:hAnsi="Times New Roman"/>
          <w:sz w:val="18"/>
          <w:szCs w:val="18"/>
          <w:b w:val="1"/>
          <w:bCs w:val="1"/>
          <w:color w:val="auto"/>
        </w:rPr>
        <w:t xml:space="preserve"> July 10, 2026, at 10:00 a.m. Eastern Time</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Special Meeting, Aterian stockholders will vote on eight proposals:</w:t>
      </w:r>
    </w:p>
    <w:p>
      <w:pPr>
        <w:spacing w:after="0" w:line="22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Asset Sale Proposal</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sale of the Company’s brand portfolio described under the Asset Purchase Agreement.</w:t>
      </w:r>
    </w:p>
    <w:p>
      <w:pPr>
        <w:spacing w:after="0" w:line="202" w:lineRule="exact"/>
        <w:rPr>
          <w:rFonts w:ascii="Times New Roman" w:cs="Times New Roman" w:eastAsia="Times New Roman" w:hAnsi="Times New Roman"/>
          <w:sz w:val="18"/>
          <w:szCs w:val="18"/>
          <w:color w:val="auto"/>
        </w:rPr>
      </w:pPr>
    </w:p>
    <w:p>
      <w:pPr>
        <w:ind w:left="660" w:right="8520" w:hanging="328"/>
        <w:spacing w:after="0" w:line="317"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Director Election Proposal </w:t>
      </w:r>
      <w:r>
        <w:rPr>
          <w:rFonts w:ascii="Times New Roman" w:cs="Times New Roman" w:eastAsia="Times New Roman" w:hAnsi="Times New Roman"/>
          <w:sz w:val="17"/>
          <w:szCs w:val="17"/>
          <w:color w:val="auto"/>
        </w:rPr>
        <w:t>Elect two new directors:</w:t>
      </w:r>
    </w:p>
    <w:p>
      <w:pPr>
        <w:spacing w:after="0" w:line="136" w:lineRule="exact"/>
        <w:rPr>
          <w:sz w:val="20"/>
          <w:szCs w:val="20"/>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Avraham Ben-Tzi (term through 2027)</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Natan (term through 2028)</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of Control Proposal</w:t>
      </w:r>
    </w:p>
    <w:p>
      <w:pPr>
        <w:spacing w:after="0" w:line="31" w:lineRule="exact"/>
        <w:rPr>
          <w:rFonts w:ascii="Times New Roman" w:cs="Times New Roman" w:eastAsia="Times New Roman" w:hAnsi="Times New Roman"/>
          <w:sz w:val="18"/>
          <w:szCs w:val="18"/>
          <w:color w:val="auto"/>
        </w:rPr>
      </w:pPr>
    </w:p>
    <w:p>
      <w:pPr>
        <w:ind w:left="660"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issuance of shares of the Company’s common stock upon conversion of shares of the Company’s preferred stock, in accordance with Nasdaq Listing Rule 5635(b) due to change-of-control implications.</w:t>
      </w:r>
    </w:p>
    <w:p>
      <w:pPr>
        <w:spacing w:after="0" w:line="17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Related Party Proposal</w:t>
      </w:r>
    </w:p>
    <w:p>
      <w:pPr>
        <w:spacing w:after="0" w:line="31" w:lineRule="exact"/>
        <w:rPr>
          <w:rFonts w:ascii="Times New Roman" w:cs="Times New Roman" w:eastAsia="Times New Roman" w:hAnsi="Times New Roman"/>
          <w:sz w:val="18"/>
          <w:szCs w:val="18"/>
          <w:color w:val="auto"/>
        </w:rPr>
      </w:pPr>
    </w:p>
    <w:p>
      <w:pPr>
        <w:ind w:left="660"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issuance of shares of the Company’s common stock upon conversion of shares of the Company’s preferred stock to a director of the Company, in accordance with Nasdaq Listing Rule 5635(c).</w:t>
      </w:r>
    </w:p>
    <w:p>
      <w:pPr>
        <w:spacing w:after="0" w:line="17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Issuance Proposal</w:t>
      </w:r>
    </w:p>
    <w:p>
      <w:pPr>
        <w:spacing w:after="0" w:line="31" w:lineRule="exact"/>
        <w:rPr>
          <w:rFonts w:ascii="Times New Roman" w:cs="Times New Roman" w:eastAsia="Times New Roman" w:hAnsi="Times New Roman"/>
          <w:sz w:val="18"/>
          <w:szCs w:val="18"/>
          <w:color w:val="auto"/>
        </w:rPr>
      </w:pPr>
    </w:p>
    <w:p>
      <w:pPr>
        <w:ind w:left="660"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issuance of shares of the Company’s common stock upon conversion of shares of the Company’s preferred stock, in accordance with Nasdaq Listing Rules 5635(d).</w:t>
      </w:r>
    </w:p>
    <w:p>
      <w:pPr>
        <w:spacing w:after="0" w:line="17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Reverse Stock Split Proposal</w:t>
      </w:r>
    </w:p>
    <w:p>
      <w:pPr>
        <w:spacing w:after="0" w:line="31" w:lineRule="exact"/>
        <w:rPr>
          <w:rFonts w:ascii="Times New Roman" w:cs="Times New Roman" w:eastAsia="Times New Roman" w:hAnsi="Times New Roman"/>
          <w:sz w:val="18"/>
          <w:szCs w:val="18"/>
          <w:color w:val="auto"/>
        </w:rPr>
      </w:pPr>
    </w:p>
    <w:p>
      <w:pPr>
        <w:ind w:left="660" w:right="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Approve an amendment to the Company’s Amended and Restated Certificate of Incorporation to effect a reverse stock split with respect to the Company’s issued and outstanding shares of common stock at a ratio between </w:t>
      </w:r>
      <w:r>
        <w:rPr>
          <w:rFonts w:ascii="Times New Roman" w:cs="Times New Roman" w:eastAsia="Times New Roman" w:hAnsi="Times New Roman"/>
          <w:sz w:val="18"/>
          <w:szCs w:val="18"/>
          <w:b w:val="1"/>
          <w:bCs w:val="1"/>
          <w:color w:val="auto"/>
        </w:rPr>
        <w:t>1-for-2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1-for-99</w:t>
      </w:r>
      <w:r>
        <w:rPr>
          <w:rFonts w:ascii="Times New Roman" w:cs="Times New Roman" w:eastAsia="Times New Roman" w:hAnsi="Times New Roman"/>
          <w:sz w:val="18"/>
          <w:szCs w:val="18"/>
          <w:color w:val="auto"/>
        </w:rPr>
        <w:t>, with the final ratio to be determined at the discretion of the Company’s Board of Directors and included in a public announcement by the Company before the effectiveness of a reverse stock split.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Authorized Stock Increase Proposal</w:t>
      </w:r>
    </w:p>
    <w:p>
      <w:pPr>
        <w:spacing w:after="0" w:line="31" w:lineRule="exact"/>
        <w:rPr>
          <w:rFonts w:ascii="Times New Roman" w:cs="Times New Roman" w:eastAsia="Times New Roman" w:hAnsi="Times New Roman"/>
          <w:sz w:val="18"/>
          <w:szCs w:val="18"/>
          <w:color w:val="auto"/>
        </w:rPr>
      </w:pPr>
    </w:p>
    <w:p>
      <w:pPr>
        <w:ind w:left="660"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Approve an amendment to the Company’s Amended and Restated Certificate of Incorporation to increase the authorized shares of common stock from </w:t>
      </w:r>
      <w:r>
        <w:rPr>
          <w:rFonts w:ascii="Times New Roman" w:cs="Times New Roman" w:eastAsia="Times New Roman" w:hAnsi="Times New Roman"/>
          <w:sz w:val="18"/>
          <w:szCs w:val="18"/>
          <w:b w:val="1"/>
          <w:bCs w:val="1"/>
          <w:color w:val="auto"/>
        </w:rPr>
        <w:t>500 million to up to 1 billion</w:t>
      </w:r>
      <w:r>
        <w:rPr>
          <w:rFonts w:ascii="Times New Roman" w:cs="Times New Roman" w:eastAsia="Times New Roman" w:hAnsi="Times New Roman"/>
          <w:sz w:val="18"/>
          <w:szCs w:val="18"/>
          <w:color w:val="auto"/>
        </w:rPr>
        <w:t>, at the discretion of the Company’s Board of Directors.</w:t>
      </w:r>
    </w:p>
    <w:p>
      <w:pPr>
        <w:spacing w:after="0" w:line="17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Adjournment Proposal</w:t>
      </w:r>
    </w:p>
    <w:p>
      <w:pPr>
        <w:spacing w:after="0" w:line="31" w:lineRule="exact"/>
        <w:rPr>
          <w:rFonts w:ascii="Times New Roman" w:cs="Times New Roman" w:eastAsia="Times New Roman" w:hAnsi="Times New Roman"/>
          <w:sz w:val="18"/>
          <w:szCs w:val="18"/>
          <w:color w:val="auto"/>
        </w:rPr>
      </w:pPr>
    </w:p>
    <w:p>
      <w:pPr>
        <w:ind w:left="660" w:right="3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any adjournment of the Special Meeting, if necessary or appropriate, to solicit additional votes in the event that there are insufficient shares present virtually or represented by proxy voting in favor of the foregoing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WHY YOUR VOTE MATTERS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The Company’s Board of Directors unanimously recommends that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election of each of the director nominees named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Director Election Proposal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each of the following proposals: the Asset Sale Proposal, the Change of Control Proposal, the Related Party Proposal, the Issuance Proposal, the Reverse Stock Split Proposal, the Authorized Stock Increase Proposal and the Adjournment Proposal</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Following a broad review of strategic alternatives initiated in late 2025, the Company’s Board of Directors has unanimously approved two major, concurrent transactions that together provide an actionable path to monetize the Company's portfolio, deliver value to stockholders, and protect the integrity of our brands:</w:t>
      </w:r>
    </w:p>
    <w:p>
      <w:pPr>
        <w:spacing w:after="0" w:line="17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$18 Million Sale of Marquee Brand Portfolio</w:t>
      </w:r>
    </w:p>
    <w:p>
      <w:pPr>
        <w:spacing w:after="0" w:line="229" w:lineRule="exact"/>
        <w:rPr>
          <w:sz w:val="20"/>
          <w:szCs w:val="20"/>
          <w:color w:val="auto"/>
        </w:rPr>
      </w:pPr>
    </w:p>
    <w:p>
      <w:pPr>
        <w:ind w:left="660" w:right="260"/>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entered into an agreement to sell substantially all of its leading e-commerce brands—including Mueller Living, PurSteam, hOmeLabs, Squatty Potty, Healing Solutions, and Photo Paper Direct—for </w:t>
      </w:r>
      <w:r>
        <w:rPr>
          <w:rFonts w:ascii="Times New Roman" w:cs="Times New Roman" w:eastAsia="Times New Roman" w:hAnsi="Times New Roman"/>
          <w:sz w:val="18"/>
          <w:szCs w:val="18"/>
          <w:b w:val="1"/>
          <w:bCs w:val="1"/>
          <w:color w:val="auto"/>
        </w:rPr>
        <w:t>$18 million in cash</w:t>
      </w:r>
      <w:r>
        <w:rPr>
          <w:rFonts w:ascii="Times New Roman" w:cs="Times New Roman" w:eastAsia="Times New Roman" w:hAnsi="Times New Roman"/>
          <w:sz w:val="18"/>
          <w:szCs w:val="18"/>
          <w:color w:val="auto"/>
        </w:rPr>
        <w:t>, prior to certain adjustments as described in our proxy statement filed on June 9, 2026:</w:t>
      </w:r>
    </w:p>
    <w:p>
      <w:pPr>
        <w:spacing w:after="0" w:line="172" w:lineRule="exact"/>
        <w:rPr>
          <w:sz w:val="20"/>
          <w:szCs w:val="20"/>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Expected </w:t>
      </w:r>
      <w:r>
        <w:rPr>
          <w:rFonts w:ascii="Times New Roman" w:cs="Times New Roman" w:eastAsia="Times New Roman" w:hAnsi="Times New Roman"/>
          <w:sz w:val="18"/>
          <w:szCs w:val="18"/>
          <w:b w:val="1"/>
          <w:bCs w:val="1"/>
          <w:color w:val="auto"/>
        </w:rPr>
        <w:t>net proceeds of approximately $10.6 million to $14.2 million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Estimated </w:t>
      </w:r>
      <w:r>
        <w:rPr>
          <w:rFonts w:ascii="Times New Roman" w:cs="Times New Roman" w:eastAsia="Times New Roman" w:hAnsi="Times New Roman"/>
          <w:sz w:val="18"/>
          <w:szCs w:val="18"/>
          <w:b w:val="1"/>
          <w:bCs w:val="1"/>
          <w:color w:val="auto"/>
        </w:rPr>
        <w:t>$0.85 to $1.14 per share</w:t>
      </w:r>
      <w:r>
        <w:rPr>
          <w:rFonts w:ascii="Times New Roman" w:cs="Times New Roman" w:eastAsia="Times New Roman" w:hAnsi="Times New Roman"/>
          <w:sz w:val="18"/>
          <w:szCs w:val="18"/>
          <w:color w:val="auto"/>
        </w:rPr>
        <w:t xml:space="preserve"> returned to stockholders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Anticipated </w:t>
      </w:r>
      <w:r>
        <w:rPr>
          <w:rFonts w:ascii="Times New Roman" w:cs="Times New Roman" w:eastAsia="Times New Roman" w:hAnsi="Times New Roman"/>
          <w:sz w:val="18"/>
          <w:szCs w:val="18"/>
          <w:b w:val="1"/>
          <w:bCs w:val="1"/>
          <w:color w:val="auto"/>
        </w:rPr>
        <w:t>cash distributions (including CVRs) in Q3 2026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$7 Million Strategic Investment</w:t>
      </w:r>
    </w:p>
    <w:p>
      <w:pPr>
        <w:spacing w:after="0" w:line="31" w:lineRule="exact"/>
        <w:rPr>
          <w:rFonts w:ascii="Times New Roman" w:cs="Times New Roman" w:eastAsia="Times New Roman" w:hAnsi="Times New Roman"/>
          <w:sz w:val="18"/>
          <w:szCs w:val="18"/>
          <w:color w:val="auto"/>
        </w:rPr>
      </w:pPr>
    </w:p>
    <w:p>
      <w:pPr>
        <w:ind w:left="660" w:right="5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Aterian has secured a </w:t>
      </w:r>
      <w:r>
        <w:rPr>
          <w:rFonts w:ascii="Times New Roman" w:cs="Times New Roman" w:eastAsia="Times New Roman" w:hAnsi="Times New Roman"/>
          <w:sz w:val="18"/>
          <w:szCs w:val="18"/>
          <w:b w:val="1"/>
          <w:bCs w:val="1"/>
          <w:color w:val="auto"/>
        </w:rPr>
        <w:t>$7 million capital investment</w:t>
      </w:r>
      <w:r>
        <w:rPr>
          <w:rFonts w:ascii="Times New Roman" w:cs="Times New Roman" w:eastAsia="Times New Roman" w:hAnsi="Times New Roman"/>
          <w:sz w:val="18"/>
          <w:szCs w:val="18"/>
          <w:color w:val="auto"/>
        </w:rPr>
        <w:t xml:space="preserve"> to support future strategic opportunities and reposition the Company for growth.</w:t>
      </w:r>
    </w:p>
    <w:p>
      <w:pPr>
        <w:spacing w:after="0" w:line="17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important to know that the strategic investor has waived rights to the dividend of any asset sale proceeds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ensuring that stockholders fully benefit from the value generated by the transactions.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 BEFORE JULY 10</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w:t>
      </w:r>
    </w:p>
    <w:p>
      <w:pPr>
        <w:spacing w:after="0" w:line="9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 xml:space="preserve">Simply call our proxy solicitor </w:t>
      </w:r>
      <w:r>
        <w:rPr>
          <w:rFonts w:ascii="Times New Roman" w:cs="Times New Roman" w:eastAsia="Times New Roman" w:hAnsi="Times New Roman"/>
          <w:sz w:val="18"/>
          <w:szCs w:val="18"/>
          <w:b w:val="1"/>
          <w:bCs w:val="1"/>
          <w:color w:val="auto"/>
        </w:rPr>
        <w:t>Laurel Hill Advisory Group</w:t>
      </w:r>
      <w:r>
        <w:rPr>
          <w:rFonts w:ascii="Times New Roman" w:cs="Times New Roman" w:eastAsia="Times New Roman" w:hAnsi="Times New Roman"/>
          <w:sz w:val="18"/>
          <w:szCs w:val="18"/>
          <w:color w:val="auto"/>
        </w:rPr>
        <w:t xml:space="preserve"> as their team is standing by and can record your vote verbally over the phone. Toll-free. No cost to you.</w:t>
      </w:r>
    </w:p>
    <w:p>
      <w:pPr>
        <w:spacing w:after="0" w:line="15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Toll-Free: </w:t>
      </w:r>
      <w:r>
        <w:rPr>
          <w:rFonts w:ascii="Times New Roman" w:cs="Times New Roman" w:eastAsia="Times New Roman" w:hAnsi="Times New Roman"/>
          <w:sz w:val="18"/>
          <w:szCs w:val="18"/>
          <w:b w:val="1"/>
          <w:bCs w:val="1"/>
          <w:color w:val="auto"/>
        </w:rPr>
        <w:t>888.742.1305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 / International: </w:t>
      </w:r>
      <w:r>
        <w:rPr>
          <w:rFonts w:ascii="Times New Roman" w:cs="Times New Roman" w:eastAsia="Times New Roman" w:hAnsi="Times New Roman"/>
          <w:sz w:val="18"/>
          <w:szCs w:val="18"/>
          <w:color w:val="auto"/>
        </w:rPr>
        <w:t>516.933.3100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Email: </w:t>
      </w:r>
      <w:r>
        <w:rPr>
          <w:rFonts w:ascii="Times New Roman" w:cs="Times New Roman" w:eastAsia="Times New Roman" w:hAnsi="Times New Roman"/>
          <w:sz w:val="18"/>
          <w:szCs w:val="18"/>
          <w:u w:val="single" w:color="auto"/>
          <w:color w:val="auto"/>
        </w:rPr>
        <w:t>ATER@laurelhill.com</w:t>
      </w:r>
    </w:p>
    <w:p>
      <w:pPr>
        <w:spacing w:after="0" w:line="229" w:lineRule="exact"/>
        <w:rPr>
          <w:sz w:val="20"/>
          <w:szCs w:val="20"/>
          <w:color w:val="auto"/>
        </w:rPr>
      </w:pPr>
    </w:p>
    <w:p>
      <w:pPr>
        <w:ind w:right="360"/>
        <w:spacing w:after="0" w:line="532" w:lineRule="auto"/>
        <w:rPr>
          <w:sz w:val="20"/>
          <w:szCs w:val="20"/>
          <w:color w:val="auto"/>
        </w:rPr>
      </w:pPr>
      <w:r>
        <w:rPr>
          <w:rFonts w:ascii="Times New Roman" w:cs="Times New Roman" w:eastAsia="Times New Roman" w:hAnsi="Times New Roman"/>
          <w:sz w:val="18"/>
          <w:szCs w:val="18"/>
          <w:color w:val="auto"/>
        </w:rPr>
        <w:t>We understand your time is valuable and are incredibly grateful for your continued partnership. We look forward to receiving your vote before July 10. Sincerely,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Arturo Rodriguez</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Aterian,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Aterian and its directors and executive officers may be deemed “participants” in any solicitation of proxies from Aterian’s stockholders with respect to the Asset Sale and the Investment Transaction. Information regarding the identity of Aterian’s directors and executive officers, and their direct and indirect interests, by security holdings or otherwise, in the Company’s securities is contained in the Company’s Annual Report on Form 10-K for the fiscal year ended December 31, 2025, which was filed with the SEC on March 23, 2026. Information regarding subsequent changes to the holdings of Aterian’s securities by Aterian’s directors and executive officers can be found in filings on Forms 3, 4, and 5, which are available through the SEC’s website at www.sec.gov. Additional information regarding the identity of potential participants, and their direct or indirect interests, by security holdings or otherwise, are set forth in the definitive proxy statement relating to the Asset Sale and the Investment Transaction, which was filed on June 9, 2026, as such proxy statement may be supplemented from time to time. The proxy statement, as well as Aterian’s other public filings with the SEC, may be obtained without charge at the SEC’s website at www.sec.gov and on the investor relations section of the Company’s website at www.aterian.io.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All statements other than statements of historical facts included in this communication that address activities, events or developments that we expect, believe or anticipate will or may occur in the future are forward-looking statements. Examples of these forward-looking statements include statements concerning the proposed Asset Sale, the Investment Transaction, the transactions contemplated thereby, the timing of completing the proposed transactions, the potential benefits of the proposed transactions and the declaration and timing of any potential dividend or distribution of CVRs. These forward-looking statements are based on management’s current expectations and beliefs and are subject to a number of risks and uncertainties and other factors, all of which are difficult to predict and many of which are beyond our control and could cause actual results to differ materially and adversely from those described in the forward-looking statements. These risks and uncertainties include, among others: the terms, structure, benefits and costs of each of the Asset Sale, the Investment Transaction, and the transactions contemplated by each of the foregoing; the timing of such transactions and whether such transactions will be consummated at all; the risk that the Asset Sale, the Investment Transaction, and the transactions contemplated by each of the foregoing, and the announcement of the same, could have an adverse effect on the ability of the Company to retain and hire key personnel and maintain relationships with partners, suppliers, employees, shareholders and other business relationships and on its operating results and business generally; the risk that the Asset Sale, the Investment Transaction, and the transactions contemplated by each of the foregoing could divert the attention and time of the Company’s management; the risk of any unexpected costs or expenses resulting from the Asset Sale, the Investment Transaction, and the transactions contemplated by each of the foregoing; the risk that any anticipated distributions of proceeds (whether via a dividend or CVR) may not be declared and paid; the risk of any litigation relating thereto; the uncertainties and variables inherent in business, operating and financial performance, including, among other things, competitive developments and general economic, political, business, industry, regulatory and market conditions, future exchange and interest rates, and changes in tax and other laws, regulations, rates and policies; our ability to continue as a going concern; our ability to maintain the listing of our common stock on Nasdaq; our ability to meet financial covenants with our lenders; our business model and our technology platform; reliance on third party online marketplaces; and other factors discussed in the “Risk Factors” section of our most recent periodic reports filed with the SEC, all of which you may obtain for free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Although we believe that the expectations reflected in our forward-looking statements are reasonable, we do not know whether our expectations will prove correct. You are cautioned not to place undue reliance on these forward-looking statements, which speak only as of the date hereof, even if subsequently made available by us on our website or otherwise. We do not undertake any obligation to update, amend or clarify these forward-looking statements, whether as a result of new information, future events or otherwise, except as may be required under applicable securities laws.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In connection with the proposed transactions, Aterian has filed a definitive proxy statement with the SEC and has mailed the definitive proxy statement and related materials to stockholders of record. The proposed transactions will be submitted to Aterian stockholders for their approval. Aterian may also file other documents with the SEC regarding the proposed transactions. The definitive proxy statement contains important information about the proposed transactions and related matters. This document is not a substitute for the proxy statement filed with the SEC or any other documents that Aterian may file with the SEC or send to Aterian stockholders in connection with the proposed transactions. SECURITY HOLDERS ARE ADVISED TO READ THE PROXY STATEMENT REGARDING THE PROPOSED TRANSACTIONS (INCLUDING ALL OTHER RELEVANT DOCUMENTS THAT ARE FILED OR WILL BE FILED WITH THE SEC, AS WELL AS ANY AMENDMENTS OR SUPPLEMENTS TO THESE DOCUMENTS) CAREFULLY AND IN THEIR ENTIRETY BECAUSE THEY CONTAIN IMPORTANT INFORMATION ABOUT THE PROPOSED TRANSACTIONS. Investors and security holders may obtain free copies of the proxy statement and all other documents filed, or that will be filed, by Aterian with the SEC through the SEC’s website at www.sec.gov. Copies of documents filed with the SEC by Aterian will be made available free of charge on Aterian’s website at www.aterian.io or by directing a request to Investor relations at ir@aterian.io.</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2"/>
    </w:lvl>
    <w:lvl w:ilvl="1">
      <w:lvlJc w:val="left"/>
      <w:lvlText w:val="o"/>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lvl w:ilvl="1">
      <w:lvlJc w:val="left"/>
      <w:lvlText w:val="o"/>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2026-06-29T15:55:29Z</dcterms:created>
  <dcterms:modified xsi:type="dcterms:W3CDTF">2026-06-29T15:55:29Z</dcterms:modified>
</cp:coreProperties>
</file>