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NATAN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SPRINGFIELD AVENUE SUITE #200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SUMMIT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301,205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shares of restricted common stock, granted pursuant to the Issuer's 2018 Equity Incentive Plan that are subject to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Natan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3108" TargetMode="External"/><Relationship Id="rId5" Type="http://schemas.openxmlformats.org/officeDocument/2006/relationships/hyperlink" Target="http://www.sec.gov/cgi-bin/browse-edgar?action=getcompany&amp;CIK=000175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3149</Characters>
  <CharactersWithSpaces>3663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